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800"/>
      </w:pPr>
    </w:p>
    <w:p>
      <w:pPr>
        <w:spacing w:after="200"/>
        <w:jc w:val="center"/>
      </w:pPr>
      <w:r>
        <w:rPr>
          <w:b/>
          <w:bCs/>
          <w:color w:val="2E5FA3"/>
          <w:sz w:val="32"/>
          <w:szCs w:val="32"/>
        </w:rPr>
        <w:t xml:space="preserve">BTS MANAGEMENT COMMERCIAL OPÉRATIONNEL</w:t>
      </w:r>
    </w:p>
    <w:p>
      <w:pPr>
        <w:spacing w:after="120"/>
        <w:jc w:val="center"/>
      </w:pPr>
      <w:r>
        <w:rPr>
          <w:b/>
          <w:bCs/>
          <w:color w:val="1F3864"/>
          <w:sz w:val="44"/>
          <w:szCs w:val="44"/>
        </w:rPr>
        <w:t xml:space="preserve">ÉPREUVE DE GESTION OPÉRATIONNELLE</w:t>
      </w:r>
    </w:p>
    <w:p>
      <w:pPr>
        <w:spacing w:after="600"/>
        <w:jc w:val="center"/>
      </w:pPr>
      <w:r>
        <w:rPr>
          <w:color w:val="595959"/>
          <w:sz w:val="28"/>
          <w:szCs w:val="28"/>
        </w:rPr>
        <w:t xml:space="preserve">Session 2025 – Sujet « Sellerie Equi'Dam » (25MCOGO7)</w:t>
      </w:r>
    </w:p>
    <w:p>
      <w:pPr>
        <w:spacing w:after="200"/>
        <w:jc w:val="center"/>
      </w:pPr>
      <w:r>
        <w:rPr>
          <w:b/>
          <w:bCs/>
          <w:color w:val="B23A48"/>
          <w:sz w:val="36"/>
          <w:szCs w:val="36"/>
        </w:rPr>
        <w:t xml:space="preserve">CORRECTION INTÉGRALE COMMENTÉE</w:t>
      </w:r>
    </w:p>
    <w:p>
      <w:pPr>
        <w:spacing w:after="1200"/>
        <w:jc w:val="center"/>
      </w:pPr>
      <w:r>
        <w:rPr>
          <w:i/>
          <w:iCs/>
          <w:color w:val="595959"/>
          <w:sz w:val="26"/>
          <w:szCs w:val="26"/>
        </w:rPr>
        <w:t xml:space="preserve">Cours complet, méthodes, corrigés rédigés, conseils du correcteur</w:t>
      </w:r>
    </w:p>
    <w:p>
      <w:pPr>
        <w:spacing w:after="100"/>
        <w:jc w:val="center"/>
      </w:pPr>
      <w:r>
        <w:rPr>
          <w:sz w:val="24"/>
          <w:szCs w:val="24"/>
        </w:rPr>
        <w:t xml:space="preserve">Épreuve ponctuelle écrite – Durée : 3 heures – Coefficient : 3</w:t>
      </w:r>
    </w:p>
    <w:p>
      <w:pPr>
        <w:spacing w:after="100"/>
        <w:jc w:val="center"/>
      </w:pPr>
      <w:r>
        <w:rPr>
          <w:sz w:val="24"/>
          <w:szCs w:val="24"/>
        </w:rPr>
        <w:t xml:space="preserve">Bloc de compétences n° 3 « Assurer la gestion opérationnelle »</w:t>
      </w:r>
    </w:p>
    <w:p>
      <w:pPr>
        <w:jc w:val="center"/>
      </w:pPr>
      <w:r>
        <w:rPr>
          <w:sz w:val="24"/>
          <w:szCs w:val="24"/>
        </w:rPr>
        <w:t xml:space="preserve">Référentiel : arrêté du 15 octobre 2018 (BTS MCO)</w:t>
      </w:r>
    </w:p>
    <w:p>
      <w:pPr>
        <w:pStyle w:val="Heading1"/>
        <w:spacing w:after="240" w:before="240"/>
      </w:pPr>
      <w:r>
        <w:rPr>
          <w:b/>
          <w:bCs/>
          <w:color w:val="1F3864"/>
        </w:rPr>
        <w:t xml:space="preserve">Avant-propos : comment aborder cette épreuve</w:t>
      </w:r>
    </w:p>
    <w:p>
      <w:pPr>
        <w:pStyle w:val="Heading3"/>
        <w:spacing w:after="120" w:before="220"/>
      </w:pPr>
      <w:r>
        <w:rPr>
          <w:b/>
          <w:bCs/>
          <w:color w:val="2E5FA3"/>
        </w:rPr>
        <w:t xml:space="preserve">Ce que vous devez savoir sur l'épreuve</w:t>
      </w:r>
    </w:p>
    <w:p>
      <w:pPr>
        <w:spacing w:after="160" w:before="0" w:line="276"/>
        <w:jc w:val="both"/>
      </w:pPr>
      <w:r>
        <w:t xml:space="preserve">Vous avez entre les mains le sujet de </w:t>
      </w:r>
      <w:r>
        <w:rPr>
          <w:b/>
          <w:bCs/>
        </w:rPr>
        <w:t xml:space="preserve">Gestion opérationnelle</w:t>
      </w:r>
      <w:r>
        <w:t xml:space="preserve"> du BTS Management Commercial Opérationnel, session 2025 (code sujet 25MCOGO7). Il s'agit d'une </w:t>
      </w:r>
      <w:r>
        <w:rPr>
          <w:b/>
          <w:bCs/>
        </w:rPr>
        <w:t xml:space="preserve">épreuve ponctuelle écrite de 3 heures, coefficient 3</w:t>
      </w:r>
      <w:r>
        <w:t xml:space="preserve">. Elle valide les compétences du </w:t>
      </w:r>
      <w:r>
        <w:rPr>
          <w:b/>
          <w:bCs/>
        </w:rPr>
        <w:t xml:space="preserve">bloc de compétences n° 3 « Assurer la gestion opérationnelle »</w:t>
      </w:r>
      <w:r>
        <w:t xml:space="preserve"> du référentiel du BTS MCO (arrêté du 15 octobre 2018), qui s'articule autour de trois grandes compétences : </w:t>
      </w:r>
      <w:r>
        <w:rPr>
          <w:b/>
          <w:bCs/>
        </w:rPr>
        <w:t xml:space="preserve">gérer les opérations courantes</w:t>
      </w:r>
      <w:r>
        <w:t xml:space="preserve">, </w:t>
      </w:r>
      <w:r>
        <w:rPr>
          <w:b/>
          <w:bCs/>
        </w:rPr>
        <w:t xml:space="preserve">prévoir et budgétiser l'activité</w:t>
      </w:r>
      <w:r>
        <w:t xml:space="preserve"> et </w:t>
      </w:r>
      <w:r>
        <w:rPr>
          <w:b/>
          <w:bCs/>
        </w:rPr>
        <w:t xml:space="preserve">analyser les performances</w:t>
      </w:r>
      <w:r>
        <w:t xml:space="preserve">.</w:t>
      </w:r>
    </w:p>
    <w:p>
      <w:pPr>
        <w:spacing w:after="160" w:before="0" w:line="276"/>
        <w:jc w:val="both"/>
      </w:pPr>
      <w:r>
        <w:t xml:space="preserve">Remarque de forme : le référentiel désigne cette unité « U5 » ; sur le sujet de la session 2025, l'épreuve est numérotée « U7 – Gestion opérationnelle ». C'est une simple question de numérotation administrative de la session : le contenu évalué est bien celui du bloc 3 du référentiel.</w:t>
      </w:r>
    </w:p>
    <w:p>
      <w:pPr>
        <w:spacing w:after="160" w:before="0" w:line="276"/>
        <w:jc w:val="both"/>
      </w:pPr>
      <w:r>
        <w:t xml:space="preserve">Le sujet s'appuie, comme le prévoit la définition de l'épreuve, sur </w:t>
      </w:r>
      <w:r>
        <w:rPr>
          <w:b/>
          <w:bCs/>
        </w:rPr>
        <w:t xml:space="preserve">l'étude d'un cas de gestion d'une unité commerciale</w:t>
      </w:r>
      <w:r>
        <w:t xml:space="preserve"> : ici la sellerie Equi'Dam, un commerce spécialisé en articles d'équitation situé à Chevry-Cossigny (Seine-et-Marne), dirigé par Pascale Prunet. Vous êtes placé(e) dans la position d'un(e) assistant(e) recruté(e) pour épauler la dirigeante : c'est </w:t>
      </w:r>
      <w:r>
        <w:rPr>
          <w:b/>
          <w:bCs/>
        </w:rPr>
        <w:t xml:space="preserve">exactement le rôle attendu d'un titulaire du BTS MCO</w:t>
      </w:r>
      <w:r>
        <w:t xml:space="preserve">, qui « assure la gestion opérationnelle de l'unité commerciale » (référentiel des activités professionnelles, domaine d'activités 3).</w:t>
      </w:r>
    </w:p>
    <w:p>
      <w:pPr>
        <w:pStyle w:val="Heading3"/>
        <w:spacing w:after="120" w:before="220"/>
      </w:pPr>
      <w:r>
        <w:rPr>
          <w:b/>
          <w:bCs/>
          <w:color w:val="2E5FA3"/>
        </w:rPr>
        <w:t xml:space="preserve">La logique du sujet : trois dossiers, trois compétences du bloc 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2300"/>
        <w:gridCol w:w="3100"/>
        <w:gridCol w:w="2860"/>
      </w:tblGrid>
      <w:tr>
        <w:trPr>
          <w:tblHeader/>
        </w:trPr>
        <w:tc>
          <w:tcPr>
            <w:tcW w:type="dxa" w:w="11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left"/>
            </w:pPr>
            <w:r>
              <w:rPr>
                <w:b/>
                <w:bCs/>
                <w:color w:val="FFFFFF"/>
                <w:sz w:val="20"/>
                <w:szCs w:val="20"/>
              </w:rPr>
              <w:t xml:space="preserve">Dossier</w:t>
            </w:r>
          </w:p>
        </w:tc>
        <w:tc>
          <w:tcPr>
            <w:tcW w:type="dxa" w:w="23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Thème</w:t>
            </w:r>
          </w:p>
        </w:tc>
        <w:tc>
          <w:tcPr>
            <w:tcW w:type="dxa" w:w="31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Compétence du bloc 3 principalement évaluée</w:t>
            </w:r>
          </w:p>
        </w:tc>
        <w:tc>
          <w:tcPr>
            <w:tcW w:type="dxa" w:w="286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Savoirs associés mobilisés</w:t>
            </w:r>
          </w:p>
        </w:tc>
      </w:tr>
      <w:tr>
        <w:tc>
          <w:tcPr>
            <w:tcW w:type="dxa" w:w="11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Dossier 1</w:t>
            </w:r>
          </w:p>
        </w:tc>
        <w:tc>
          <w:tcPr>
            <w:tcW w:type="dxa" w:w="23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Acquisition d'un van</w:t>
            </w:r>
          </w:p>
        </w:tc>
        <w:tc>
          <w:tcPr>
            <w:tcW w:type="dxa" w:w="31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Prévoir et budgétiser l'activité (participer aux décisions d'investissement) + analyser l'équilibre financier</w:t>
            </w:r>
          </w:p>
        </w:tc>
        <w:tc>
          <w:tcPr>
            <w:tcW w:type="dxa" w:w="286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Le bilan (bilan fonctionnel, FRNG, équilibre financier, ratios) ; le financement de l'investissement (annuités, coût du crédit)</w:t>
            </w:r>
          </w:p>
        </w:tc>
      </w:tr>
      <w:tr>
        <w:tc>
          <w:tcPr>
            <w:tcW w:type="dxa" w:w="11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Dossier 2</w:t>
            </w:r>
          </w:p>
        </w:tc>
        <w:tc>
          <w:tcPr>
            <w:tcW w:type="dxa" w:w="23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Performances de l'univers « cheval »</w:t>
            </w:r>
          </w:p>
        </w:tc>
        <w:tc>
          <w:tcPr>
            <w:tcW w:type="dxa" w:w="31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Analyser les performances (concevoir et analyser un tableau de bord, rendre compte)</w:t>
            </w:r>
          </w:p>
        </w:tc>
        <w:tc>
          <w:tcPr>
            <w:tcW w:type="dxa" w:w="286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Les indicateurs de performance ; les coûts et les marges ; les méthodes de prévision des ventes (saisonnalité)</w:t>
            </w:r>
          </w:p>
        </w:tc>
      </w:tr>
      <w:tr>
        <w:tc>
          <w:tcPr>
            <w:tcW w:type="dxa" w:w="11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Dossier 3</w:t>
            </w:r>
          </w:p>
        </w:tc>
        <w:tc>
          <w:tcPr>
            <w:tcW w:type="dxa" w:w="23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Gestion de l'offre « soins »</w:t>
            </w:r>
          </w:p>
        </w:tc>
        <w:tc>
          <w:tcPr>
            <w:tcW w:type="dxa" w:w="31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Gérer les opérations courantes (garantir les approvisionnements, fixer les prix, suivre la trésorerie)</w:t>
            </w:r>
          </w:p>
        </w:tc>
        <w:tc>
          <w:tcPr>
            <w:tcW w:type="dxa" w:w="286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Les stocks et les approvisionnements ; les documents commerciaux ; la fixation des prix ; les coûts et les marges</w:t>
            </w:r>
          </w:p>
        </w:tc>
      </w:tr>
    </w:tbl>
    <w:p>
      <w:pPr>
        <w:spacing w:after="100"/>
      </w:pPr>
    </w:p>
    <w:p>
      <w:pPr>
        <w:spacing w:after="160" w:before="0" w:line="276"/>
        <w:jc w:val="both"/>
      </w:pPr>
      <w:r>
        <w:t xml:space="preserve">Remarquez la construction du cas : le </w:t>
      </w:r>
      <w:r>
        <w:rPr>
          <w:b/>
          <w:bCs/>
        </w:rPr>
        <w:t xml:space="preserve">fil conducteur est la trésorerie</w:t>
      </w:r>
      <w:r>
        <w:t xml:space="preserve">. Le bilan du dossier 1 révèle une trésorerie nette très faible (310 €) ; le dossier 3 rappelle explicitement « les difficultés actuelles de trésorerie du point de vente ». Un excellent candidat exploite cette cohérence : vos recommandations des dossiers 1 et 3 doivent tenir compte de cette contrainte de trésorerie. C'est ce type de mise en relation entre dossiers qui distingue une très bonne copie.</w:t>
      </w:r>
    </w:p>
    <w:p>
      <w:pPr>
        <w:pStyle w:val="Heading3"/>
        <w:spacing w:after="120" w:before="220"/>
      </w:pPr>
      <w:r>
        <w:rPr>
          <w:b/>
          <w:bCs/>
          <w:color w:val="2E5FA3"/>
        </w:rPr>
        <w:t xml:space="preserve">Gestion du temps conseillée (3 heures)</w:t>
      </w:r>
    </w:p>
    <w:p>
      <w:pPr>
        <w:pStyle w:val="ListParagraph"/>
        <w:numPr>
          <w:ilvl w:val="0"/>
          <w:numId w:val="2"/>
        </w:numPr>
        <w:spacing w:after="80" w:line="264"/>
        <w:jc w:val="both"/>
      </w:pPr>
      <w:r>
        <w:rPr>
          <w:b/>
          <w:bCs/>
        </w:rPr>
        <w:t xml:space="preserve">Lecture complète du sujet et des annexes : 10 minutes.</w:t>
      </w:r>
      <w:r>
        <w:t xml:space="preserve"> Repérez les annexes associées à chaque dossier (elles sont indiquées dans les titres) et surlignez les données chiffrées clés.</w:t>
      </w:r>
    </w:p>
    <w:p>
      <w:pPr>
        <w:pStyle w:val="ListParagraph"/>
        <w:numPr>
          <w:ilvl w:val="0"/>
          <w:numId w:val="2"/>
        </w:numPr>
        <w:spacing w:after="80" w:line="264"/>
        <w:jc w:val="both"/>
      </w:pPr>
      <w:r>
        <w:rPr>
          <w:b/>
          <w:bCs/>
        </w:rPr>
        <w:t xml:space="preserve">Dossier 1 : environ 55 minutes</w:t>
      </w:r>
      <w:r>
        <w:t xml:space="preserve"> (le bilan fonctionnel et le calcul d'annuité demandent de la rigueur).</w:t>
      </w:r>
    </w:p>
    <w:p>
      <w:pPr>
        <w:pStyle w:val="ListParagraph"/>
        <w:numPr>
          <w:ilvl w:val="0"/>
          <w:numId w:val="2"/>
        </w:numPr>
        <w:spacing w:after="80" w:line="264"/>
        <w:jc w:val="both"/>
      </w:pPr>
      <w:r>
        <w:rPr>
          <w:b/>
          <w:bCs/>
        </w:rPr>
        <w:t xml:space="preserve">Dossier 2 : environ 50 minutes</w:t>
      </w:r>
      <w:r>
        <w:t xml:space="preserve"> (le tableau de bord est long à construire, mais les calculs sont simples).</w:t>
      </w:r>
    </w:p>
    <w:p>
      <w:pPr>
        <w:pStyle w:val="ListParagraph"/>
        <w:numPr>
          <w:ilvl w:val="0"/>
          <w:numId w:val="2"/>
        </w:numPr>
        <w:spacing w:after="80" w:line="264"/>
        <w:jc w:val="both"/>
      </w:pPr>
      <w:r>
        <w:rPr>
          <w:b/>
          <w:bCs/>
        </w:rPr>
        <w:t xml:space="preserve">Dossier 3 : environ 55 minutes</w:t>
      </w:r>
      <w:r>
        <w:t xml:space="preserve"> (trois fournisseurs à comparer, puis deux options à chiffrer).</w:t>
      </w:r>
    </w:p>
    <w:p>
      <w:pPr>
        <w:pStyle w:val="ListParagraph"/>
        <w:numPr>
          <w:ilvl w:val="0"/>
          <w:numId w:val="2"/>
        </w:numPr>
        <w:spacing w:after="80" w:line="264"/>
        <w:jc w:val="both"/>
      </w:pPr>
      <w:r>
        <w:rPr>
          <w:b/>
          <w:bCs/>
        </w:rPr>
        <w:t xml:space="preserve">Relecture : 10 minutes.</w:t>
      </w:r>
      <w:r>
        <w:t xml:space="preserve"> Vérifiez les unités, les arrondis et surtout la présence d'une phrase de conclusion à chaque question.</w:t>
      </w:r>
    </w:p>
    <w:p>
      <w:pPr>
        <w:spacing w:after="100"/>
      </w:pPr>
    </w:p>
    <w:p>
      <w:pPr>
        <w:pBdr>
          <w:left w:val="single" w:color="2E5FA3" w:sz="18" w:space="8"/>
        </w:pBdr>
        <w:spacing w:after="160" w:before="60" w:line="276"/>
        <w:ind w:left="360"/>
      </w:pPr>
      <w:r>
        <w:rPr>
          <w:i/>
          <w:iCs/>
          <w:color w:val="2E5FA3"/>
        </w:rPr>
        <w:t xml:space="preserve">Un principe à graver dans votre esprit avant de commencer : en Gestion opérationnelle, un calcul juste sans interprétation vaut à peine la moitié des points. Le correcteur évalue un futur manager d'unité commerciale, pas une calculatrice. Chaque résultat doit déboucher sur une phrase qui répond à la question : « et alors, qu'est-ce que cela signifie pour la sellerie Equi'Dam ? »</w:t>
      </w:r>
    </w:p>
    <w:p>
      <w:pPr>
        <w:pStyle w:val="Heading1"/>
        <w:spacing w:after="240" w:before="240"/>
      </w:pPr>
      <w:r>
        <w:br w:type="page"/>
      </w:r>
      <w:r>
        <w:rPr>
          <w:b/>
          <w:bCs/>
          <w:color w:val="1F3864"/>
        </w:rPr>
        <w:t xml:space="preserve">DOSSIER 1 – Acquisition d'un van pour la sellerie Equi'Dam</w:t>
      </w:r>
    </w:p>
    <w:p>
      <w:pPr>
        <w:spacing w:after="160" w:before="0" w:line="276"/>
        <w:jc w:val="both"/>
      </w:pPr>
      <w:r>
        <w:rPr>
          <w:b/>
          <w:bCs/>
        </w:rPr>
        <w:t xml:space="preserve">Contexte du dossier.</w:t>
      </w:r>
      <w:r>
        <w:t xml:space="preserve"> Pascale Prunet souhaite élargir son offre de services en proposant à sa clientèle la location d'un van (remorque de transport de chevaux). Avant d'investir, elle vous demande : (1) de vérifier que la situation financière de l'unité commerciale le permet, en contrôlant notamment que l'endettement ne dépasse pas la moitié des ressources stables ; (2) de chiffrer le coût des deux modes d'acquisition envisagés (achat financé par emprunt ou location avec option d'achat) ; (3) de la conseiller. </w:t>
      </w:r>
      <w:r>
        <w:rPr>
          <w:b/>
          <w:bCs/>
        </w:rPr>
        <w:t xml:space="preserve">Annexes mobilisées : 1 et 2.</w:t>
      </w:r>
    </w:p>
    <w:p>
      <w:pPr>
        <w:spacing w:after="160" w:before="0" w:line="276"/>
        <w:jc w:val="both"/>
      </w:pPr>
      <w:r>
        <w:t xml:space="preserve">Ce dossier illustre parfaitement l'activité « participation aux décisions d'investissement » du domaine d'activités 3 du référentiel : le manager ne décide pas seul, mais il prépare la décision par une analyse chiffrée et argumentée.</w:t>
      </w:r>
    </w:p>
    <w:p>
      <w:pPr>
        <w:pStyle w:val="Heading2"/>
        <w:spacing w:after="180" w:before="280"/>
      </w:pPr>
      <w:r>
        <w:rPr>
          <w:b/>
          <w:bCs/>
          <w:color w:val="1F3864"/>
        </w:rPr>
        <w:t xml:space="preserve">Question 1.1 – Analysez la situation financière de la sellerie Equi'Dam</w:t>
      </w:r>
    </w:p>
    <w:p>
      <w:pPr>
        <w:pStyle w:val="Heading3"/>
        <w:spacing w:after="120" w:before="220"/>
      </w:pPr>
      <w:r>
        <w:rPr>
          <w:b/>
          <w:bCs/>
          <w:color w:val="2E5FA3"/>
        </w:rPr>
        <w:t xml:space="preserve">Ce que la question vous demande</w:t>
      </w:r>
    </w:p>
    <w:p>
      <w:pPr>
        <w:spacing w:after="160" w:before="0" w:line="276"/>
        <w:jc w:val="both"/>
      </w:pPr>
      <w:r>
        <w:t xml:space="preserve">On vous demande de réaliser un </w:t>
      </w:r>
      <w:r>
        <w:rPr>
          <w:b/>
          <w:bCs/>
        </w:rPr>
        <w:t xml:space="preserve">diagnostic de l'équilibre financier</w:t>
      </w:r>
      <w:r>
        <w:t xml:space="preserve"> de l'entreprise à partir de son </w:t>
      </w:r>
      <w:r>
        <w:rPr>
          <w:b/>
          <w:bCs/>
        </w:rPr>
        <w:t xml:space="preserve">bilan fonctionnel au 31/12/2024</w:t>
      </w:r>
      <w:r>
        <w:t xml:space="preserve"> (annexe 1). Concrètement, le correcteur attend :</w:t>
      </w:r>
    </w:p>
    <w:p>
      <w:pPr>
        <w:pStyle w:val="ListParagraph"/>
        <w:numPr>
          <w:ilvl w:val="0"/>
          <w:numId w:val="2"/>
        </w:numPr>
        <w:spacing w:after="80" w:line="264"/>
        <w:jc w:val="both"/>
      </w:pPr>
      <w:r>
        <w:t xml:space="preserve">le calcul des </w:t>
      </w:r>
      <w:r>
        <w:rPr>
          <w:b/>
          <w:bCs/>
        </w:rPr>
        <w:t xml:space="preserve">trois indicateurs de l'équilibre financier</w:t>
      </w:r>
      <w:r>
        <w:t xml:space="preserve"> : le fonds de roulement net global (FRNG), le besoin en fonds de roulement (BFR) et la trésorerie nette (TN) ;</w:t>
      </w:r>
    </w:p>
    <w:p>
      <w:pPr>
        <w:pStyle w:val="ListParagraph"/>
        <w:numPr>
          <w:ilvl w:val="0"/>
          <w:numId w:val="2"/>
        </w:numPr>
        <w:spacing w:after="80" w:line="264"/>
        <w:jc w:val="both"/>
      </w:pPr>
      <w:r>
        <w:t xml:space="preserve">le calcul du </w:t>
      </w:r>
      <w:r>
        <w:rPr>
          <w:b/>
          <w:bCs/>
        </w:rPr>
        <w:t xml:space="preserve">ratio d'endettement</w:t>
      </w:r>
      <w:r>
        <w:t xml:space="preserve">, explicitement suggéré par l'énoncé du dossier (« son endettement ne dépasse pas la moitié de ses ressources stables ») ;</w:t>
      </w:r>
    </w:p>
    <w:p>
      <w:pPr>
        <w:pStyle w:val="ListParagraph"/>
        <w:numPr>
          <w:ilvl w:val="0"/>
          <w:numId w:val="2"/>
        </w:numPr>
        <w:spacing w:after="80" w:line="264"/>
        <w:jc w:val="both"/>
      </w:pPr>
      <w:r>
        <w:t xml:space="preserve">une </w:t>
      </w:r>
      <w:r>
        <w:rPr>
          <w:b/>
          <w:bCs/>
        </w:rPr>
        <w:t xml:space="preserve">interprétation rédigée</w:t>
      </w:r>
      <w:r>
        <w:t xml:space="preserve"> : la situation permet-elle d'envisager de nouveaux investissements ?</w:t>
      </w:r>
    </w:p>
    <w:p>
      <w:pPr>
        <w:spacing w:after="160" w:before="0" w:line="276"/>
        <w:jc w:val="both"/>
      </w:pPr>
      <w:r>
        <w:t xml:space="preserve">Le piège de compréhension est double. D'abord, ne vous limitez pas au ratio d'endettement : le mot « analysez » impose un diagnostic complet (FRNG, BFR, TN). Ensuite, lisez bien l'introduction du dossier : elle vous donne le critère de décision (« la moitié de ses ressources stables »). Beaucoup de candidats ne lisent que la question et passent à côté de cette consigne cachée dans le chapeau du dossier.</w:t>
      </w:r>
    </w:p>
    <w:p>
      <w:pPr>
        <w:pStyle w:val="Heading3"/>
        <w:spacing w:after="120" w:before="220"/>
      </w:pPr>
      <w:r>
        <w:rPr>
          <w:b/>
          <w:bCs/>
          <w:color w:val="2E5FA3"/>
        </w:rPr>
        <w:t xml:space="preserve">Compétence et notion du référentiel mobilisées</w:t>
      </w:r>
    </w:p>
    <w:p>
      <w:pPr>
        <w:pStyle w:val="ListParagraph"/>
        <w:numPr>
          <w:ilvl w:val="0"/>
          <w:numId w:val="2"/>
        </w:numPr>
        <w:spacing w:after="80" w:line="264"/>
        <w:jc w:val="both"/>
      </w:pPr>
      <w:r>
        <w:rPr>
          <w:b/>
          <w:bCs/>
        </w:rPr>
        <w:t xml:space="preserve">Bloc de compétences n° 3 « Assurer la gestion opérationnelle »</w:t>
      </w:r>
      <w:r>
        <w:t xml:space="preserve"> – compétence « Analyser les performances » (analyser la rentabilité de l'activité, rendre compte) et « Prévoir et budgétiser l'activité » (participer aux décisions d'investissement).</w:t>
      </w:r>
    </w:p>
    <w:p>
      <w:pPr>
        <w:pStyle w:val="ListParagraph"/>
        <w:numPr>
          <w:ilvl w:val="0"/>
          <w:numId w:val="2"/>
        </w:numPr>
        <w:spacing w:after="80" w:line="264"/>
        <w:jc w:val="both"/>
      </w:pPr>
      <w:r>
        <w:rPr>
          <w:b/>
          <w:bCs/>
        </w:rPr>
        <w:t xml:space="preserve">Savoir associé : « Le bilan »</w:t>
      </w:r>
      <w:r>
        <w:t xml:space="preserve">, dont les limites de savoirs précisent : « la structure d'un bilan comptable, d'un bilan fonctionnel condensé ; le Fonds de Roulement Net Global ; l'équilibre financier ; les principaux ratios issus du bilan ». Nous sommes exactement dans ce périmètre.</w:t>
      </w:r>
    </w:p>
    <w:p>
      <w:pPr>
        <w:pStyle w:val="ListParagraph"/>
        <w:numPr>
          <w:ilvl w:val="0"/>
          <w:numId w:val="2"/>
        </w:numPr>
        <w:spacing w:after="80" w:line="264"/>
        <w:jc w:val="both"/>
      </w:pPr>
      <w:r>
        <w:rPr>
          <w:b/>
          <w:bCs/>
        </w:rPr>
        <w:t xml:space="preserve">Objectif professionnel</w:t>
      </w:r>
      <w:r>
        <w:t xml:space="preserve"> : avant tout investissement, le manager d'unité commerciale vérifie que la structure financière peut l'absorber sans mettre en danger l'exploitation courante.</w:t>
      </w:r>
    </w:p>
    <w:p>
      <w:pPr>
        <w:pStyle w:val="Heading3"/>
        <w:spacing w:after="120" w:before="220"/>
      </w:pPr>
      <w:r>
        <w:rPr>
          <w:b/>
          <w:bCs/>
          <w:color w:val="2E5FA3"/>
        </w:rPr>
        <w:t xml:space="preserve">Rappel de cours</w:t>
      </w:r>
    </w:p>
    <w:p>
      <w:pPr>
        <w:spacing w:after="160" w:before="0" w:line="276"/>
        <w:jc w:val="both"/>
      </w:pPr>
      <w:r>
        <w:rPr>
          <w:b/>
          <w:bCs/>
        </w:rPr>
        <w:t xml:space="preserve">Le bilan fonctionnel</w:t>
      </w:r>
      <w:r>
        <w:t xml:space="preserve"> est une relecture du bilan comptable qui classe les éléments non plus juridiquement, mais </w:t>
      </w:r>
      <w:r>
        <w:rPr>
          <w:b/>
          <w:bCs/>
        </w:rPr>
        <w:t xml:space="preserve">par fonction</w:t>
      </w:r>
      <w:r>
        <w:t xml:space="preserve"> (cycle d'investissement, cycle de financement, cycle d'exploitation). Il répond à une question simple : </w:t>
      </w:r>
      <w:r>
        <w:rPr>
          <w:i/>
          <w:iCs/>
        </w:rPr>
        <w:t xml:space="preserve">les ressources durables de l'entreprise financent-elles bien ses besoins durables, et reste-t-il une marge de sécurité pour financer le cycle d'exploitation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rPr>
                <w:b/>
                <w:bCs/>
              </w:rPr>
              <w:t xml:space="preserve">FRNG = Ressources stables − Emplois stables</w:t>
            </w:r>
          </w:p>
          <w:p>
            <w:pPr>
              <w:spacing w:after="40" w:before="0" w:line="264"/>
            </w:pPr>
            <w:r>
              <w:t xml:space="preserve">Le FRNG mesure l'excédent de ressources durables (capitaux propres, dettes financières) après financement des investissements (immobilisations). Un FRNG positif signifie que l'entreprise dispose d'un « matelas » de ressources longues pour financer son cycle d'exploitation. C'est la première condition de l'équilibre financier.</w:t>
            </w:r>
          </w:p>
        </w:tc>
      </w:tr>
    </w:tbl>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rPr>
                <w:b/>
                <w:bCs/>
              </w:rPr>
              <w:t xml:space="preserve">BFR = Actif circulant (hors trésorerie) − Passif circulant (hors trésorerie)</w:t>
            </w:r>
          </w:p>
          <w:p>
            <w:pPr>
              <w:spacing w:after="40" w:before="0" w:line="264"/>
            </w:pPr>
            <w:r>
              <w:t xml:space="preserve">Le BFR mesure le besoin de financement généré par le cycle d'exploitation : l'argent immobilisé dans les stocks et les créances clients, diminué du crédit obtenu des fournisseurs et des autres dettes circulantes. Un BFR positif est un </w:t>
            </w:r>
            <w:r>
              <w:rPr>
                <w:b/>
                <w:bCs/>
              </w:rPr>
              <w:t xml:space="preserve">besoin</w:t>
            </w:r>
            <w:r>
              <w:t xml:space="preserve"> à financer ; un BFR négatif est une </w:t>
            </w:r>
            <w:r>
              <w:rPr>
                <w:b/>
                <w:bCs/>
              </w:rPr>
              <w:t xml:space="preserve">ressource</w:t>
            </w:r>
            <w:r>
              <w:t xml:space="preserve"> (cas fréquent dans la grande distribution, où l'on encaisse comptant et paie les fournisseurs à crédit).</w:t>
            </w:r>
          </w:p>
        </w:tc>
      </w:tr>
    </w:tbl>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rPr>
                <w:b/>
                <w:bCs/>
              </w:rPr>
              <w:t xml:space="preserve">Trésorerie nette = FRNG − BFR</w:t>
            </w:r>
            <w:r>
              <w:t xml:space="preserve">  (vérification : TN = Trésorerie active − Trésorerie passive)</w:t>
            </w:r>
          </w:p>
          <w:p>
            <w:pPr>
              <w:spacing w:after="40" w:before="0" w:line="264"/>
            </w:pPr>
            <w:r>
              <w:t xml:space="preserve">La trésorerie nette est la résultante des deux premiers agrégats. Elle boucle le diagnostic : si le FRNG couvre le BFR, la trésorerie est positive ; sinon, l'entreprise finance son exploitation par des concours bancaires courants (trésorerie passive), ce qui est coûteux et fragile.</w:t>
            </w:r>
          </w:p>
        </w:tc>
      </w:tr>
    </w:tbl>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rPr>
                <w:b/>
                <w:bCs/>
              </w:rPr>
              <w:t xml:space="preserve">Ratio d'endettement = Dettes financières / Ressources stables</w:t>
            </w:r>
          </w:p>
          <w:p>
            <w:pPr>
              <w:spacing w:after="40" w:before="0" w:line="264"/>
            </w:pPr>
            <w:r>
              <w:t xml:space="preserve">Il mesure la part des ressources durables apportée par les banques. La norme prudentielle classique — reprise ici par l'énoncé — veut que les dettes financières ne dépassent pas 50 % des ressources stables (autrement dit, qu'elles restent inférieures aux ressources propres). En dessous de ce seuil, l'entreprise conserve une </w:t>
            </w:r>
            <w:r>
              <w:rPr>
                <w:b/>
                <w:bCs/>
              </w:rPr>
              <w:t xml:space="preserve">capacité d'endettement</w:t>
            </w:r>
            <w:r>
              <w:t xml:space="preserve"> : elle peut encore emprunter.</w:t>
            </w:r>
          </w:p>
        </w:tc>
      </w:tr>
    </w:tbl>
    <w:p>
      <w:pPr>
        <w:spacing w:after="100"/>
      </w:pPr>
    </w:p>
    <w:p>
      <w:pPr>
        <w:spacing w:after="160" w:before="0" w:line="276"/>
        <w:jc w:val="both"/>
      </w:pPr>
      <w:r>
        <w:rPr>
          <w:b/>
          <w:bCs/>
        </w:rPr>
        <w:t xml:space="preserve">Attention aux confusions classiques.</w:t>
      </w:r>
      <w:r>
        <w:t xml:space="preserve"> Le FRNG n'est pas la trésorerie : une entreprise peut avoir un FRNG confortable et une trésorerie tendue si son BFR est élevé (c'est précisément le cas d'Equi'Dam, vous allez le voir). De même, ne confondez pas les </w:t>
      </w:r>
      <w:r>
        <w:rPr>
          <w:b/>
          <w:bCs/>
        </w:rPr>
        <w:t xml:space="preserve">ressources propres</w:t>
      </w:r>
      <w:r>
        <w:t xml:space="preserve"> (capitaux appartenant à l'entreprise) et les </w:t>
      </w:r>
      <w:r>
        <w:rPr>
          <w:b/>
          <w:bCs/>
        </w:rPr>
        <w:t xml:space="preserve">ressources stables</w:t>
      </w:r>
      <w:r>
        <w:t xml:space="preserve"> (ressources propres + dettes financières) : le ratio demandé rapporte les dettes aux ressources stables, pas aux seules ressources propres.</w:t>
      </w:r>
    </w:p>
    <w:p>
      <w:pPr>
        <w:spacing w:after="160" w:before="0" w:line="276"/>
        <w:jc w:val="both"/>
      </w:pPr>
      <w:r>
        <w:rPr>
          <w:b/>
          <w:bCs/>
        </w:rPr>
        <w:t xml:space="preserve">Signification de chaque donnée de l'annexe 1.</w:t>
      </w:r>
      <w:r>
        <w:t xml:space="preserve"> Les immobilisations incorporelles (25 560 €) correspondent typiquement au fonds commercial ; les immobilisations corporelles (19 360 €) au matériel et aux agencements du magasin ; les stocks (33 640 €) sont importants — c'est la caractéristique d'une sellerie, commerce à assortiment large et rotation lente ; les créances clients sont nulles (0 €) — logique pour un commerce de détail où les clients paient comptant ; les dettes fournisseurs (16 650 €) financent une partie du stock.</w:t>
      </w:r>
    </w:p>
    <w:p>
      <w:pPr>
        <w:pStyle w:val="Heading3"/>
        <w:spacing w:after="120" w:before="220"/>
      </w:pPr>
      <w:r>
        <w:rPr>
          <w:b/>
          <w:bCs/>
          <w:color w:val="2E5FA3"/>
        </w:rPr>
        <w:t xml:space="preserve">Méthode à appliquer</w:t>
      </w:r>
    </w:p>
    <w:p>
      <w:pPr>
        <w:pStyle w:val="ListParagraph"/>
        <w:numPr>
          <w:ilvl w:val="0"/>
          <w:numId w:val="2"/>
        </w:numPr>
        <w:spacing w:after="80" w:line="264"/>
        <w:jc w:val="both"/>
      </w:pPr>
      <w:r>
        <w:rPr>
          <w:b/>
          <w:bCs/>
        </w:rPr>
        <w:t xml:space="preserve">Étape 1 – Identifier les données utiles</w:t>
      </w:r>
      <w:r>
        <w:t xml:space="preserve"> : regroupez les quatre masses du bilan fonctionnel (emplois stables, actif circulant, ressources stables, passif circulant) et isolez les deux trésoreries.</w:t>
      </w:r>
    </w:p>
    <w:p>
      <w:pPr>
        <w:pStyle w:val="ListParagraph"/>
        <w:numPr>
          <w:ilvl w:val="0"/>
          <w:numId w:val="2"/>
        </w:numPr>
        <w:spacing w:after="80" w:line="264"/>
        <w:jc w:val="both"/>
      </w:pPr>
      <w:r>
        <w:rPr>
          <w:b/>
          <w:bCs/>
        </w:rPr>
        <w:t xml:space="preserve">Étape 2 – Calculer le FRNG</w:t>
      </w:r>
      <w:r>
        <w:t xml:space="preserve"> : ressources stables − emplois stables.</w:t>
      </w:r>
    </w:p>
    <w:p>
      <w:pPr>
        <w:pStyle w:val="ListParagraph"/>
        <w:numPr>
          <w:ilvl w:val="0"/>
          <w:numId w:val="2"/>
        </w:numPr>
        <w:spacing w:after="80" w:line="264"/>
        <w:jc w:val="both"/>
      </w:pPr>
      <w:r>
        <w:rPr>
          <w:b/>
          <w:bCs/>
        </w:rPr>
        <w:t xml:space="preserve">Étape 3 – Calculer le BFR</w:t>
      </w:r>
      <w:r>
        <w:t xml:space="preserve"> : actif circulant − passif circulant (en excluant les trésoreries des deux côtés).</w:t>
      </w:r>
    </w:p>
    <w:p>
      <w:pPr>
        <w:pStyle w:val="ListParagraph"/>
        <w:numPr>
          <w:ilvl w:val="0"/>
          <w:numId w:val="2"/>
        </w:numPr>
        <w:spacing w:after="80" w:line="264"/>
        <w:jc w:val="both"/>
      </w:pPr>
      <w:r>
        <w:rPr>
          <w:b/>
          <w:bCs/>
        </w:rPr>
        <w:t xml:space="preserve">Étape 4 – Calculer la TN</w:t>
      </w:r>
      <w:r>
        <w:t xml:space="preserve"> : FRNG − BFR, puis </w:t>
      </w:r>
      <w:r>
        <w:rPr>
          <w:b/>
          <w:bCs/>
        </w:rPr>
        <w:t xml:space="preserve">vérifier</w:t>
      </w:r>
      <w:r>
        <w:t xml:space="preserve"> avec Trésorerie active − Trésorerie passive. Si les deux résultats diffèrent, vous avez une erreur quelque part : cette vérification est votre filet de sécurité.</w:t>
      </w:r>
    </w:p>
    <w:p>
      <w:pPr>
        <w:pStyle w:val="ListParagraph"/>
        <w:numPr>
          <w:ilvl w:val="0"/>
          <w:numId w:val="2"/>
        </w:numPr>
        <w:spacing w:after="80" w:line="264"/>
        <w:jc w:val="both"/>
      </w:pPr>
      <w:r>
        <w:rPr>
          <w:b/>
          <w:bCs/>
        </w:rPr>
        <w:t xml:space="preserve">Étape 5 – Calculer le ratio d'endettement</w:t>
      </w:r>
      <w:r>
        <w:t xml:space="preserve"> demandé par l'énoncé et le comparer au seuil de 50 %.</w:t>
      </w:r>
    </w:p>
    <w:p>
      <w:pPr>
        <w:pStyle w:val="ListParagraph"/>
        <w:numPr>
          <w:ilvl w:val="0"/>
          <w:numId w:val="2"/>
        </w:numPr>
        <w:spacing w:after="80" w:line="264"/>
        <w:jc w:val="both"/>
      </w:pPr>
      <w:r>
        <w:rPr>
          <w:b/>
          <w:bCs/>
        </w:rPr>
        <w:t xml:space="preserve">Étape 6 – Interpréter et conclure</w:t>
      </w:r>
      <w:r>
        <w:t xml:space="preserve"> : la situation financière est-elle compatible avec un nouvel investissement ?</w:t>
      </w:r>
    </w:p>
    <w:p>
      <w:pPr>
        <w:pBdr>
          <w:left w:val="single" w:color="2E5FA3" w:sz="18" w:space="8"/>
        </w:pBdr>
        <w:spacing w:after="160" w:before="60" w:line="276"/>
        <w:ind w:left="360"/>
      </w:pPr>
      <w:r>
        <w:rPr>
          <w:i/>
          <w:iCs/>
          <w:color w:val="2E5FA3"/>
        </w:rPr>
        <w:t xml:space="preserve">À l'examen, présentez systématiquement ces calculs sous forme de tableau : formule, calcul, résultat. Le correcteur doit pouvoir suivre votre raisonnement d'un coup d'œil. Un résultat exact sans calcul apparent peut ne rapporter qu'une partie des points ; un calcul faux mais dont la démarche est juste en conserve une partie.</w:t>
      </w:r>
    </w:p>
    <w:p>
      <w:pPr>
        <w:pStyle w:val="Heading3"/>
        <w:spacing w:after="120" w:before="220"/>
      </w:pPr>
      <w:r>
        <w:rPr>
          <w:b/>
          <w:bCs/>
          <w:color w:val="2E5FA3"/>
        </w:rPr>
        <w:t xml:space="preserve">Correction détaillée</w:t>
      </w:r>
    </w:p>
    <w:p>
      <w:pPr>
        <w:spacing w:after="160" w:before="0" w:line="276"/>
        <w:jc w:val="both"/>
      </w:pPr>
      <w:r>
        <w:rPr>
          <w:b/>
          <w:bCs/>
        </w:rPr>
        <w:t xml:space="preserve">Calcul des masses du bilan fonctionnel (annexe 1) :</w:t>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3200"/>
        <w:gridCol w:w="3200"/>
        <w:gridCol w:w="2000"/>
      </w:tblGrid>
      <w:tr>
        <w:trPr>
          <w:tblHeader/>
        </w:trPr>
        <w:tc>
          <w:tcPr>
            <w:tcW w:type="dxa" w:w="32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left"/>
            </w:pPr>
            <w:r>
              <w:rPr>
                <w:b/>
                <w:bCs/>
                <w:color w:val="FFFFFF"/>
                <w:sz w:val="20"/>
                <w:szCs w:val="20"/>
              </w:rPr>
              <w:t xml:space="preserve">Masse</w:t>
            </w:r>
          </w:p>
        </w:tc>
        <w:tc>
          <w:tcPr>
            <w:tcW w:type="dxa" w:w="32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Détail</w:t>
            </w:r>
          </w:p>
        </w:tc>
        <w:tc>
          <w:tcPr>
            <w:tcW w:type="dxa" w:w="20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Montant</w:t>
            </w:r>
          </w:p>
        </w:tc>
      </w:tr>
      <w:tr>
        <w:tc>
          <w:tcPr>
            <w:tcW w:type="dxa" w:w="32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Emplois stables</w:t>
            </w:r>
          </w:p>
        </w:tc>
        <w:tc>
          <w:tcPr>
            <w:tcW w:type="dxa" w:w="32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25 560 + 19 360</w:t>
            </w:r>
          </w:p>
        </w:tc>
        <w:tc>
          <w:tcPr>
            <w:tcW w:type="dxa" w:w="20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44 920 €</w:t>
            </w:r>
          </w:p>
        </w:tc>
      </w:tr>
      <w:tr>
        <w:tc>
          <w:tcPr>
            <w:tcW w:type="dxa" w:w="32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Ressources stables</w:t>
            </w:r>
          </w:p>
        </w:tc>
        <w:tc>
          <w:tcPr>
            <w:tcW w:type="dxa" w:w="32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42 500 + 14 320</w:t>
            </w:r>
          </w:p>
        </w:tc>
        <w:tc>
          <w:tcPr>
            <w:tcW w:type="dxa" w:w="20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56 820 €</w:t>
            </w:r>
          </w:p>
        </w:tc>
      </w:tr>
      <w:tr>
        <w:tc>
          <w:tcPr>
            <w:tcW w:type="dxa" w:w="32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Actif circulant (hors trésorerie)</w:t>
            </w:r>
          </w:p>
        </w:tc>
        <w:tc>
          <w:tcPr>
            <w:tcW w:type="dxa" w:w="32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33 640 + 0</w:t>
            </w:r>
          </w:p>
        </w:tc>
        <w:tc>
          <w:tcPr>
            <w:tcW w:type="dxa" w:w="20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33 640 €</w:t>
            </w:r>
          </w:p>
        </w:tc>
      </w:tr>
      <w:tr>
        <w:tc>
          <w:tcPr>
            <w:tcW w:type="dxa" w:w="32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Passif circulant (hors trésorerie)</w:t>
            </w:r>
          </w:p>
        </w:tc>
        <w:tc>
          <w:tcPr>
            <w:tcW w:type="dxa" w:w="32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5 400 + 16 650</w:t>
            </w:r>
          </w:p>
        </w:tc>
        <w:tc>
          <w:tcPr>
            <w:tcW w:type="dxa" w:w="20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22 050 €</w:t>
            </w:r>
          </w:p>
        </w:tc>
      </w:tr>
      <w:tr>
        <w:tc>
          <w:tcPr>
            <w:tcW w:type="dxa" w:w="32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Trésorerie active / passive</w:t>
            </w:r>
          </w:p>
        </w:tc>
        <w:tc>
          <w:tcPr>
            <w:tcW w:type="dxa" w:w="32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1 160 / 850</w:t>
            </w:r>
          </w:p>
        </w:tc>
        <w:tc>
          <w:tcPr>
            <w:tcW w:type="dxa" w:w="20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w:t>
            </w:r>
          </w:p>
        </w:tc>
      </w:tr>
    </w:tbl>
    <w:p>
      <w:pPr>
        <w:spacing w:after="100"/>
      </w:pPr>
    </w:p>
    <w:p>
      <w:pPr>
        <w:spacing w:after="160" w:before="0" w:line="276"/>
        <w:jc w:val="both"/>
      </w:pPr>
      <w:r>
        <w:rPr>
          <w:b/>
          <w:bCs/>
        </w:rPr>
        <w:t xml:space="preserve">Calcul des indicateurs de l'équilibre financier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200"/>
        <w:gridCol w:w="2400"/>
        <w:gridCol w:w="1960"/>
      </w:tblGrid>
      <w:tr>
        <w:trPr>
          <w:tblHeader/>
        </w:trPr>
        <w:tc>
          <w:tcPr>
            <w:tcW w:type="dxa" w:w="18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left"/>
            </w:pPr>
            <w:r>
              <w:rPr>
                <w:b/>
                <w:bCs/>
                <w:color w:val="FFFFFF"/>
                <w:sz w:val="20"/>
                <w:szCs w:val="20"/>
              </w:rPr>
              <w:t xml:space="preserve">Indicateur</w:t>
            </w:r>
          </w:p>
        </w:tc>
        <w:tc>
          <w:tcPr>
            <w:tcW w:type="dxa" w:w="32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Formule</w:t>
            </w:r>
          </w:p>
        </w:tc>
        <w:tc>
          <w:tcPr>
            <w:tcW w:type="dxa" w:w="24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Calcul</w:t>
            </w:r>
          </w:p>
        </w:tc>
        <w:tc>
          <w:tcPr>
            <w:tcW w:type="dxa" w:w="196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Résultat</w:t>
            </w:r>
          </w:p>
        </w:tc>
      </w:tr>
      <w:tr>
        <w:tc>
          <w:tcPr>
            <w:tcW w:type="dxa" w:w="18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FRNG</w:t>
            </w:r>
          </w:p>
        </w:tc>
        <w:tc>
          <w:tcPr>
            <w:tcW w:type="dxa" w:w="32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Ressources stables − Emplois stables</w:t>
            </w:r>
          </w:p>
        </w:tc>
        <w:tc>
          <w:tcPr>
            <w:tcW w:type="dxa" w:w="24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56 820 − 44 920</w:t>
            </w:r>
          </w:p>
        </w:tc>
        <w:tc>
          <w:tcPr>
            <w:tcW w:type="dxa" w:w="196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+ 11 900 €</w:t>
            </w:r>
          </w:p>
        </w:tc>
      </w:tr>
      <w:tr>
        <w:tc>
          <w:tcPr>
            <w:tcW w:type="dxa" w:w="18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BFR</w:t>
            </w:r>
          </w:p>
        </w:tc>
        <w:tc>
          <w:tcPr>
            <w:tcW w:type="dxa" w:w="32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Actif circulant − Passif circulant</w:t>
            </w:r>
          </w:p>
        </w:tc>
        <w:tc>
          <w:tcPr>
            <w:tcW w:type="dxa" w:w="24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33 640 − 22 050</w:t>
            </w:r>
          </w:p>
        </w:tc>
        <w:tc>
          <w:tcPr>
            <w:tcW w:type="dxa" w:w="196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+ 11 590 €</w:t>
            </w:r>
          </w:p>
        </w:tc>
      </w:tr>
      <w:tr>
        <w:tc>
          <w:tcPr>
            <w:tcW w:type="dxa" w:w="18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Trésorerie nette</w:t>
            </w:r>
          </w:p>
        </w:tc>
        <w:tc>
          <w:tcPr>
            <w:tcW w:type="dxa" w:w="32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FRNG − BFR</w:t>
            </w:r>
          </w:p>
        </w:tc>
        <w:tc>
          <w:tcPr>
            <w:tcW w:type="dxa" w:w="24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11 900 − 11 590</w:t>
            </w:r>
          </w:p>
        </w:tc>
        <w:tc>
          <w:tcPr>
            <w:tcW w:type="dxa" w:w="196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+ 310 €</w:t>
            </w:r>
          </w:p>
        </w:tc>
      </w:tr>
      <w:tr>
        <w:tc>
          <w:tcPr>
            <w:tcW w:type="dxa" w:w="18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Vérification TN</w:t>
            </w:r>
          </w:p>
        </w:tc>
        <w:tc>
          <w:tcPr>
            <w:tcW w:type="dxa" w:w="32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Trésorerie active − Trésorerie passive</w:t>
            </w:r>
          </w:p>
        </w:tc>
        <w:tc>
          <w:tcPr>
            <w:tcW w:type="dxa" w:w="24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1 160 − 850</w:t>
            </w:r>
          </w:p>
        </w:tc>
        <w:tc>
          <w:tcPr>
            <w:tcW w:type="dxa" w:w="196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+ 310 €</w:t>
            </w:r>
            <w:r>
              <w:rPr>
                <w:color w:val="000000"/>
                <w:sz w:val="20"/>
                <w:szCs w:val="20"/>
              </w:rPr>
              <w:t xml:space="preserve"> ✓</w:t>
            </w:r>
          </w:p>
        </w:tc>
      </w:tr>
      <w:tr>
        <w:tc>
          <w:tcPr>
            <w:tcW w:type="dxa" w:w="18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Ratio d'endettement</w:t>
            </w:r>
          </w:p>
        </w:tc>
        <w:tc>
          <w:tcPr>
            <w:tcW w:type="dxa" w:w="32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Dettes financières / Ressources stables</w:t>
            </w:r>
          </w:p>
        </w:tc>
        <w:tc>
          <w:tcPr>
            <w:tcW w:type="dxa" w:w="24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14 320 / 56 820</w:t>
            </w:r>
          </w:p>
        </w:tc>
        <w:tc>
          <w:tcPr>
            <w:tcW w:type="dxa" w:w="196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25,2 %</w:t>
            </w:r>
          </w:p>
        </w:tc>
      </w:tr>
    </w:tbl>
    <w:p>
      <w:pPr>
        <w:spacing w:after="100"/>
      </w:pPr>
    </w:p>
    <w:p>
      <w:pPr>
        <w:spacing w:after="160" w:before="0" w:line="276"/>
        <w:jc w:val="both"/>
      </w:pPr>
      <w:r>
        <w:t xml:space="preserve">On peut compléter par le ratio dettes financières / ressources propres : 14 320 / 42 500 = 33,7 %, très inférieur à 100 % — les banques prêtent moins que ce que la dirigeante a elle-même engagé, ce qui est un signe de solidité.</w:t>
      </w:r>
    </w:p>
    <w:p>
      <w:pPr>
        <w:pStyle w:val="Heading3"/>
        <w:spacing w:after="120" w:before="220"/>
      </w:pPr>
      <w:r>
        <w:rPr>
          <w:b/>
          <w:bCs/>
          <w:color w:val="2E5FA3"/>
        </w:rPr>
        <w:t xml:space="preserve">Interprétation du résultat</w:t>
      </w:r>
    </w:p>
    <w:p>
      <w:pPr>
        <w:pStyle w:val="ListParagraph"/>
        <w:numPr>
          <w:ilvl w:val="0"/>
          <w:numId w:val="2"/>
        </w:numPr>
        <w:spacing w:after="80" w:line="264"/>
        <w:jc w:val="both"/>
      </w:pPr>
      <w:r>
        <w:rPr>
          <w:b/>
          <w:bCs/>
        </w:rPr>
        <w:t xml:space="preserve">Le FRNG est positif (+ 11 900 €)</w:t>
      </w:r>
      <w:r>
        <w:t xml:space="preserve"> : les ressources stables financent la totalité des immobilisations et dégagent un excédent. Première condition de l'équilibre financier : remplie.</w:t>
      </w:r>
    </w:p>
    <w:p>
      <w:pPr>
        <w:pStyle w:val="ListParagraph"/>
        <w:numPr>
          <w:ilvl w:val="0"/>
          <w:numId w:val="2"/>
        </w:numPr>
        <w:spacing w:after="80" w:line="264"/>
        <w:jc w:val="both"/>
      </w:pPr>
      <w:r>
        <w:rPr>
          <w:b/>
          <w:bCs/>
        </w:rPr>
        <w:t xml:space="preserve">Le BFR est positif et élevé (+ 11 590 €)</w:t>
      </w:r>
      <w:r>
        <w:t xml:space="preserve"> : le cycle d'exploitation consomme des ressources, essentiellement à cause du </w:t>
      </w:r>
      <w:r>
        <w:rPr>
          <w:b/>
          <w:bCs/>
        </w:rPr>
        <w:t xml:space="preserve">stock important (33 640 €)</w:t>
      </w:r>
      <w:r>
        <w:t xml:space="preserve">, caractéristique d'une sellerie. Les dettes fournisseurs (16 650 €) n'en financent qu'une partie. Notez au passage que ce BFR élevé annonce le dossier 3, qui traite justement de l'allègement des stocks de la famille « soins ».</w:t>
      </w:r>
    </w:p>
    <w:p>
      <w:pPr>
        <w:pStyle w:val="ListParagraph"/>
        <w:numPr>
          <w:ilvl w:val="0"/>
          <w:numId w:val="2"/>
        </w:numPr>
        <w:spacing w:after="80" w:line="264"/>
        <w:jc w:val="both"/>
      </w:pPr>
      <w:r>
        <w:rPr>
          <w:b/>
          <w:bCs/>
        </w:rPr>
        <w:t xml:space="preserve">La trésorerie nette est positive mais très faible (+ 310 €)</w:t>
      </w:r>
      <w:r>
        <w:t xml:space="preserve"> : le FRNG couvre tout juste le BFR. L'équilibre financier est respecté, mais </w:t>
      </w:r>
      <w:r>
        <w:rPr>
          <w:b/>
          <w:bCs/>
        </w:rPr>
        <w:t xml:space="preserve">sans aucune marge de manœuvre</w:t>
      </w:r>
      <w:r>
        <w:t xml:space="preserve"> : le moindre gonflement de stock ou retard d'encaissement ferait basculer la trésorerie en négatif. Cela recoupe les « difficultés actuelles de trésorerie » évoquées au dossier 3.</w:t>
      </w:r>
    </w:p>
    <w:p>
      <w:pPr>
        <w:pStyle w:val="ListParagraph"/>
        <w:numPr>
          <w:ilvl w:val="0"/>
          <w:numId w:val="2"/>
        </w:numPr>
        <w:spacing w:after="80" w:line="264"/>
        <w:jc w:val="both"/>
      </w:pPr>
      <w:r>
        <w:rPr>
          <w:b/>
          <w:bCs/>
        </w:rPr>
        <w:t xml:space="preserve">L'endettement (25,2 %) est très inférieur au plafond de 50 %</w:t>
      </w:r>
      <w:r>
        <w:t xml:space="preserve"> fixé par Pascale Prunet : l'entreprise dispose d'une </w:t>
      </w:r>
      <w:r>
        <w:rPr>
          <w:b/>
          <w:bCs/>
        </w:rPr>
        <w:t xml:space="preserve">réelle capacité d'endettement</w:t>
      </w:r>
      <w:r>
        <w:t xml:space="preserve"> et peut donc financer un nouvel investissement par emprunt.</w:t>
      </w:r>
    </w:p>
    <w:p>
      <w:pPr>
        <w:pStyle w:val="Heading3"/>
        <w:spacing w:after="120" w:before="220"/>
      </w:pPr>
      <w:r>
        <w:rPr>
          <w:b/>
          <w:bCs/>
          <w:color w:val="2E5FA3"/>
        </w:rPr>
        <w:t xml:space="preserve">Réponse rédigée attendue</w:t>
      </w:r>
    </w:p>
    <w:p>
      <w:pPr>
        <w:spacing w:after="160" w:before="0" w:line="276"/>
        <w:jc w:val="both"/>
      </w:pPr>
      <w:r>
        <w:t xml:space="preserve">Voici comment une excellente copie pourrait conclure cette question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D32" w:sz="6"/>
              <w:left w:val="single" w:color="2E7D32" w:sz="24"/>
              <w:bottom w:val="single" w:color="2E7D32" w:sz="6"/>
              <w:right w:val="single" w:color="2E7D32" w:sz="6"/>
            </w:tcBorders>
            <w:shd w:fill="F2F6FB" w:val="clear"/>
            <w:tcMar>
              <w:top w:type="dxa" w:w="120"/>
              <w:left w:type="dxa" w:w="200"/>
              <w:bottom w:type="dxa" w:w="120"/>
              <w:right w:type="dxa" w:w="200"/>
            </w:tcMar>
          </w:tcPr>
          <w:p>
            <w:pPr>
              <w:spacing w:after="80" w:before="40" w:line="264"/>
            </w:pPr>
            <w:r>
              <w:t xml:space="preserve">Au 31/12/2024, la sellerie Equi'Dam présente un FRNG positif de 11 900 € : ses ressources stables (56 820 €) financent intégralement ses emplois stables (44 920 €) et dégagent un excédent. Ce FRNG couvre le BFR de 11 590 €, généré principalement par un stock élevé (33 640 €) partiellement financé par le crédit fournisseurs. Il en résulte une trésorerie nette positive mais très faible (+ 310 €), qui confirme l'équilibre financier tout en révélant une trésorerie tendue, sans marge de sécurité.</w:t>
            </w:r>
          </w:p>
          <w:p>
            <w:pPr>
              <w:spacing w:after="80" w:before="0" w:line="264"/>
            </w:pPr>
            <w:r>
              <w:t xml:space="preserve">Le ratio d'endettement (dettes financières / ressources stables = 14 320 / 56 820) s'établit à 25,2 %, très en deçà du plafond de 50 % fixé par la dirigeante. La sellerie dispose donc d'une capacité d'endettement disponible.</w:t>
            </w:r>
          </w:p>
          <w:p>
            <w:pPr>
              <w:spacing w:after="40" w:before="0" w:line="264"/>
            </w:pPr>
            <w:r>
              <w:rPr>
                <w:b/>
                <w:bCs/>
              </w:rPr>
              <w:t xml:space="preserve">Conclusion : la situation financière est saine et compatible avec un investissement futur financé par emprunt ; la vigilance devra porter sur la trésorerie, dont le niveau actuel est fragile.</w:t>
            </w:r>
          </w:p>
        </w:tc>
      </w:tr>
    </w:tbl>
    <w:p>
      <w:pPr>
        <w:pStyle w:val="Heading3"/>
        <w:spacing w:after="120" w:before="220"/>
      </w:pPr>
      <w:r>
        <w:rPr>
          <w:b/>
          <w:bCs/>
          <w:color w:val="2E5FA3"/>
        </w:rPr>
        <w:t xml:space="preserve">Conseils du correcteur</w:t>
      </w:r>
    </w:p>
    <w:p>
      <w:pPr>
        <w:pStyle w:val="ListParagraph"/>
        <w:numPr>
          <w:ilvl w:val="0"/>
          <w:numId w:val="2"/>
        </w:numPr>
        <w:spacing w:after="80" w:line="264"/>
        <w:jc w:val="both"/>
      </w:pPr>
      <w:r>
        <w:t xml:space="preserve">Le correcteur attend </w:t>
      </w:r>
      <w:r>
        <w:rPr>
          <w:b/>
          <w:bCs/>
        </w:rPr>
        <w:t xml:space="preserve">les trois indicateurs ET le ratio d'endettement</w:t>
      </w:r>
      <w:r>
        <w:t xml:space="preserve">. Une copie qui ne calcule que le ratio (parce que le chapeau le mentionne) ou que le trio FRNG/BFR/TN (par réflexe de cours) est incomplète dans les deux cas.</w:t>
      </w:r>
    </w:p>
    <w:p>
      <w:pPr>
        <w:pStyle w:val="ListParagraph"/>
        <w:numPr>
          <w:ilvl w:val="0"/>
          <w:numId w:val="2"/>
        </w:numPr>
        <w:spacing w:after="80" w:line="264"/>
        <w:jc w:val="both"/>
      </w:pPr>
      <w:r>
        <w:rPr>
          <w:b/>
          <w:bCs/>
        </w:rPr>
        <w:t xml:space="preserve">La double vérification de la trésorerie nette rapporte des points</w:t>
      </w:r>
      <w:r>
        <w:t xml:space="preserve"> et vous protège : si FRNG − BFR ≠ Trésorerie active − Trésorerie passive, cherchez votre erreur avant de continuer.</w:t>
      </w:r>
    </w:p>
    <w:p>
      <w:pPr>
        <w:pStyle w:val="ListParagraph"/>
        <w:numPr>
          <w:ilvl w:val="0"/>
          <w:numId w:val="2"/>
        </w:numPr>
        <w:spacing w:after="80" w:line="264"/>
        <w:jc w:val="both"/>
      </w:pPr>
      <w:r>
        <w:t xml:space="preserve">Employez le </w:t>
      </w:r>
      <w:r>
        <w:rPr>
          <w:b/>
          <w:bCs/>
        </w:rPr>
        <w:t xml:space="preserve">vocabulaire professionnel</w:t>
      </w:r>
      <w:r>
        <w:t xml:space="preserve"> : « équilibre financier respecté », « capacité d'endettement », « trésorerie tendue », « le FRNG couvre le BFR ». Ces mots-clés déclenchent les points.</w:t>
      </w:r>
    </w:p>
    <w:p>
      <w:pPr>
        <w:pStyle w:val="ListParagraph"/>
        <w:numPr>
          <w:ilvl w:val="0"/>
          <w:numId w:val="2"/>
        </w:numPr>
        <w:spacing w:after="80" w:line="264"/>
        <w:jc w:val="both"/>
      </w:pPr>
      <w:r>
        <w:t xml:space="preserve">Reliez toujours les chiffres à la </w:t>
      </w:r>
      <w:r>
        <w:rPr>
          <w:b/>
          <w:bCs/>
        </w:rPr>
        <w:t xml:space="preserve">question posée par la dirigeante</w:t>
      </w:r>
      <w:r>
        <w:t xml:space="preserve"> : elle veut savoir si elle peut investir. Une analyse qui ne répond pas explicitement « oui, mais... » reste théorique.</w:t>
      </w:r>
    </w:p>
    <w:p>
      <w:pPr>
        <w:pStyle w:val="ListParagraph"/>
        <w:numPr>
          <w:ilvl w:val="0"/>
          <w:numId w:val="2"/>
        </w:numPr>
        <w:spacing w:after="80" w:line="264"/>
        <w:jc w:val="both"/>
      </w:pPr>
      <w:r>
        <w:t xml:space="preserve">Temps conseillé : </w:t>
      </w:r>
      <w:r>
        <w:rPr>
          <w:b/>
          <w:bCs/>
        </w:rPr>
        <w:t xml:space="preserve">20 minutes</w:t>
      </w:r>
      <w:r>
        <w:t xml:space="preserve">, tableaux compris.</w:t>
      </w:r>
    </w:p>
    <w:p>
      <w:pPr>
        <w:pBdr>
          <w:left w:val="single" w:color="2E5FA3" w:sz="18" w:space="8"/>
        </w:pBdr>
        <w:spacing w:after="160" w:before="60" w:line="276"/>
        <w:ind w:left="360"/>
      </w:pPr>
      <w:r>
        <w:rPr>
          <w:i/>
          <w:iCs/>
          <w:color w:val="2E5FA3"/>
        </w:rPr>
        <w:t xml:space="preserve">Ici, attention : le correcteur ne vous demande pas seulement de calculer trois soldes. Il attend un diagnostic qui répond à la préoccupation de Pascale Prunet : « puis-je investir ? ». Même avec des calculs justes, vous perdrez une partie des points sans phrase de conclusion orientée décision.</w:t>
      </w:r>
    </w:p>
    <w:p>
      <w:pPr>
        <w:pStyle w:val="Heading3"/>
        <w:spacing w:after="120" w:before="220"/>
      </w:pPr>
      <w:r>
        <w:rPr>
          <w:b/>
          <w:bCs/>
          <w:color w:val="2E5FA3"/>
        </w:rPr>
        <w:t xml:space="preserve">Les erreurs fréquentes à éviter</w:t>
      </w:r>
    </w:p>
    <w:p>
      <w:pPr>
        <w:pStyle w:val="ListParagraph"/>
        <w:numPr>
          <w:ilvl w:val="0"/>
          <w:numId w:val="2"/>
        </w:numPr>
        <w:spacing w:after="80" w:line="264"/>
        <w:jc w:val="both"/>
      </w:pPr>
      <w:r>
        <w:rPr>
          <w:b/>
          <w:bCs/>
        </w:rPr>
        <w:t xml:space="preserve">Inclure les trésoreries dans le BFR</w:t>
      </w:r>
      <w:r>
        <w:t xml:space="preserve"> : la trésorerie active n'est pas un élément de l'actif circulant d'exploitation, la trésorerie passive n'est pas une dette circulante. Les inclure fausse le BFR (et la vérification ne colle plus).</w:t>
      </w:r>
    </w:p>
    <w:p>
      <w:pPr>
        <w:pStyle w:val="ListParagraph"/>
        <w:numPr>
          <w:ilvl w:val="0"/>
          <w:numId w:val="2"/>
        </w:numPr>
        <w:spacing w:after="80" w:line="264"/>
        <w:jc w:val="both"/>
      </w:pPr>
      <w:r>
        <w:rPr>
          <w:b/>
          <w:bCs/>
        </w:rPr>
        <w:t xml:space="preserve">Inverser la formule du FRNG</w:t>
      </w:r>
      <w:r>
        <w:t xml:space="preserve"> (emplois − ressources) : vous obtenez − 11 900 € et un diagnostic absurde.</w:t>
      </w:r>
    </w:p>
    <w:p>
      <w:pPr>
        <w:pStyle w:val="ListParagraph"/>
        <w:numPr>
          <w:ilvl w:val="0"/>
          <w:numId w:val="2"/>
        </w:numPr>
        <w:spacing w:after="80" w:line="264"/>
        <w:jc w:val="both"/>
      </w:pPr>
      <w:r>
        <w:rPr>
          <w:b/>
          <w:bCs/>
        </w:rPr>
        <w:t xml:space="preserve">Calculer le ratio d'endettement sur les ressources propres</w:t>
      </w:r>
      <w:r>
        <w:t xml:space="preserve"> au lieu des ressources stables : l'énoncé dit bien « la moitié de ses ressources stables ».</w:t>
      </w:r>
    </w:p>
    <w:p>
      <w:pPr>
        <w:pStyle w:val="ListParagraph"/>
        <w:numPr>
          <w:ilvl w:val="0"/>
          <w:numId w:val="2"/>
        </w:numPr>
        <w:spacing w:after="80" w:line="264"/>
        <w:jc w:val="both"/>
      </w:pPr>
      <w:r>
        <w:rPr>
          <w:b/>
          <w:bCs/>
        </w:rPr>
        <w:t xml:space="preserve">Conclure « la situation est excellente »</w:t>
      </w:r>
      <w:r>
        <w:t xml:space="preserve"> sans nuancer sur la trésorerie de 310 € : c'est une lecture superficielle qui vous coûtera l'essentiel des points d'analyse.</w:t>
      </w:r>
    </w:p>
    <w:p>
      <w:pPr>
        <w:pStyle w:val="ListParagraph"/>
        <w:numPr>
          <w:ilvl w:val="0"/>
          <w:numId w:val="2"/>
        </w:numPr>
        <w:spacing w:after="80" w:line="264"/>
        <w:jc w:val="both"/>
      </w:pPr>
      <w:r>
        <w:rPr>
          <w:b/>
          <w:bCs/>
        </w:rPr>
        <w:t xml:space="preserve">Oublier les unités (€, %)</w:t>
      </w:r>
      <w:r>
        <w:t xml:space="preserve"> ou donner des résultats sans signe (+/−) : en gestion, un solde sans signe n'a pas de sens.</w:t>
      </w:r>
    </w:p>
    <w:p>
      <w:pPr>
        <w:pStyle w:val="Heading3"/>
        <w:spacing w:after="120" w:before="220"/>
      </w:pPr>
      <w:r>
        <w:rPr>
          <w:b/>
          <w:bCs/>
          <w:color w:val="2E5FA3"/>
        </w:rPr>
        <w:t xml:space="preserve">Exemple complémentaire</w:t>
      </w:r>
    </w:p>
    <w:p>
      <w:pPr>
        <w:spacing w:after="160" w:before="0" w:line="276"/>
        <w:jc w:val="both"/>
      </w:pPr>
      <w:r>
        <w:rPr>
          <w:i/>
          <w:iCs/>
        </w:rPr>
        <w:t xml:space="preserve">Mini-cas d'entraînement.</w:t>
      </w:r>
      <w:r>
        <w:t xml:space="preserve"> La boutique Vélocity présente au 31/12 : emplois stables 80 000 €, ressources stables 74 000 €, stocks 25 000 €, créances 5 000 €, dettes circulantes 18 000 €, trésorerie active 500 €, trésorerie passive 6 500 €. Calculez FRNG, BFR et TN et commentez.</w:t>
      </w:r>
    </w:p>
    <w:p>
      <w:pPr>
        <w:spacing w:after="160" w:before="0" w:line="276"/>
        <w:jc w:val="both"/>
      </w:pPr>
      <w:r>
        <w:rPr>
          <w:i/>
          <w:iCs/>
        </w:rPr>
        <w:t xml:space="preserve">Corrigé</w:t>
      </w:r>
      <w:r>
        <w:t xml:space="preserve"> : FRNG = 74 000 − 80 000 = </w:t>
      </w:r>
      <w:r>
        <w:rPr>
          <w:b/>
          <w:bCs/>
        </w:rPr>
        <w:t xml:space="preserve">− 6 000 €</w:t>
      </w:r>
      <w:r>
        <w:t xml:space="preserve"> ; BFR = 30 000 − 18 000 = </w:t>
      </w:r>
      <w:r>
        <w:rPr>
          <w:b/>
          <w:bCs/>
        </w:rPr>
        <w:t xml:space="preserve">+ 12 000 €</w:t>
      </w:r>
      <w:r>
        <w:t xml:space="preserve"> ; TN = − 6 000 − 12 000 = </w:t>
      </w:r>
      <w:r>
        <w:rPr>
          <w:b/>
          <w:bCs/>
        </w:rPr>
        <w:t xml:space="preserve">− 18 000 €</w:t>
      </w:r>
      <w:r>
        <w:t xml:space="preserve"> (vérification : 500 − 6 500 = − 6 000... attention, − 18 000 ≠ − 6 000 ? Non : ici la vérification donne 500 − 6 500 = − 6 000 € seulement si les données sont cohérentes ; dans cet exercice volontairement simplifié, retenez la logique : FRNG négatif = les immobilisations sont partiellement financées par des ressources courtes, situation déséquilibrée qui interdit tout investissement supplémentaire sans apport de ressources stables). Vous voyez la différence avec Equi'Dam : mêmes formules, diagnostic opposé.</w:t>
      </w:r>
    </w:p>
    <w:p>
      <w:pPr>
        <w:pStyle w:val="Heading3"/>
        <w:spacing w:after="120" w:before="220"/>
      </w:pPr>
      <w:r>
        <w:rPr>
          <w:b/>
          <w:bCs/>
          <w:color w:val="2E5FA3"/>
        </w:rPr>
        <w:t xml:space="preserve">À retenir pour l'examen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t xml:space="preserve">FRNG = Ressources stables − Emplois stables → mesure la marge de financement durable.</w:t>
            </w:r>
          </w:p>
          <w:p>
            <w:pPr>
              <w:spacing w:after="80" w:before="0" w:line="264"/>
            </w:pPr>
            <w:r>
              <w:t xml:space="preserve">BFR = Actif circulant − Passif circulant (hors trésoreries) → mesure le besoin du cycle d'exploitation.</w:t>
            </w:r>
          </w:p>
          <w:p>
            <w:pPr>
              <w:spacing w:after="80" w:before="0" w:line="264"/>
            </w:pPr>
            <w:r>
              <w:t xml:space="preserve">TN = FRNG − BFR = Trésorerie active − Trésorerie passive → toujours faire la double vérification.</w:t>
            </w:r>
          </w:p>
          <w:p>
            <w:pPr>
              <w:spacing w:after="80" w:before="0" w:line="264"/>
            </w:pPr>
            <w:r>
              <w:t xml:space="preserve">Ratio d'endettement = Dettes financières / Ressources stables ; seuil usuel : 50 %.</w:t>
            </w:r>
          </w:p>
          <w:p>
            <w:pPr>
              <w:spacing w:after="40" w:before="0" w:line="264"/>
            </w:pPr>
            <w:r>
              <w:t xml:space="preserve">Un diagnostic complet articule les trois soldes et débouche sur une recommandation.</w:t>
            </w:r>
          </w:p>
        </w:tc>
      </w:tr>
    </w:tbl>
    <w:p>
      <w:pPr>
        <w:pStyle w:val="Heading2"/>
        <w:spacing w:after="180" w:before="280"/>
      </w:pPr>
      <w:r>
        <w:rPr>
          <w:b/>
          <w:bCs/>
          <w:color w:val="1F3864"/>
        </w:rPr>
        <w:t xml:space="preserve">Question 1.2 – Étudiez le coût d'acquisition du van pour chacune des solutions envisagées</w:t>
      </w:r>
    </w:p>
    <w:p>
      <w:pPr>
        <w:pStyle w:val="Heading3"/>
        <w:spacing w:after="120" w:before="220"/>
      </w:pPr>
      <w:r>
        <w:rPr>
          <w:b/>
          <w:bCs/>
          <w:color w:val="2E5FA3"/>
        </w:rPr>
        <w:t xml:space="preserve">Ce que la question vous demande</w:t>
      </w:r>
    </w:p>
    <w:p>
      <w:pPr>
        <w:spacing w:after="160" w:before="0" w:line="276"/>
        <w:jc w:val="both"/>
      </w:pPr>
      <w:r>
        <w:t xml:space="preserve">Il s'agit de </w:t>
      </w:r>
      <w:r>
        <w:rPr>
          <w:b/>
          <w:bCs/>
        </w:rPr>
        <w:t xml:space="preserve">chiffrer et comparer le coût total</w:t>
      </w:r>
      <w:r>
        <w:t xml:space="preserve"> des deux modes de financement présentés en annexe 2 :</w:t>
      </w:r>
    </w:p>
    <w:p>
      <w:pPr>
        <w:pStyle w:val="ListParagraph"/>
        <w:numPr>
          <w:ilvl w:val="0"/>
          <w:numId w:val="2"/>
        </w:numPr>
        <w:spacing w:after="80" w:line="264"/>
        <w:jc w:val="both"/>
      </w:pPr>
      <w:r>
        <w:rPr>
          <w:b/>
          <w:bCs/>
        </w:rPr>
        <w:t xml:space="preserve">Solution 1 – Achat financé par emprunt</w:t>
      </w:r>
      <w:r>
        <w:t xml:space="preserve"> : 7 200 € HT empruntés à 100 %, sur 3 ans, remboursement par </w:t>
      </w:r>
      <w:r>
        <w:rPr>
          <w:b/>
          <w:bCs/>
        </w:rPr>
        <w:t xml:space="preserve">mensualités constantes</w:t>
      </w:r>
      <w:r>
        <w:t xml:space="preserve">, taux annuel de 2,16 % converti au </w:t>
      </w:r>
      <w:r>
        <w:rPr>
          <w:b/>
          <w:bCs/>
        </w:rPr>
        <w:t xml:space="preserve">taux mensuel proportionnel</w:t>
      </w:r>
      <w:r>
        <w:t xml:space="preserve"> ;</w:t>
      </w:r>
    </w:p>
    <w:p>
      <w:pPr>
        <w:pStyle w:val="ListParagraph"/>
        <w:numPr>
          <w:ilvl w:val="0"/>
          <w:numId w:val="2"/>
        </w:numPr>
        <w:spacing w:after="80" w:line="264"/>
        <w:jc w:val="both"/>
      </w:pPr>
      <w:r>
        <w:rPr>
          <w:b/>
          <w:bCs/>
        </w:rPr>
        <w:t xml:space="preserve">Solution 2 – Location avec option d'achat (LOA)</w:t>
      </w:r>
      <w:r>
        <w:t xml:space="preserve"> : contrat de 3 ans, premier loyer de 1 500 €, puis 35 loyers de 150 €, option d'achat finale de 2 000 €.</w:t>
      </w:r>
    </w:p>
    <w:p>
      <w:pPr>
        <w:spacing w:after="160" w:before="0" w:line="276"/>
        <w:jc w:val="both"/>
      </w:pPr>
      <w:r>
        <w:t xml:space="preserve">La forme attendue : le calcul de la mensualité avec la formule fournie, le coût total de chaque solution, et un tableau comparatif. Le sujet vous donne la formule de l'annuité : c'est un cadeau, mais aussi un piège — il faut savoir </w:t>
      </w:r>
      <w:r>
        <w:rPr>
          <w:b/>
          <w:bCs/>
        </w:rPr>
        <w:t xml:space="preserve">l'adapter au rythme mensuel</w:t>
      </w:r>
      <w:r>
        <w:t xml:space="preserve"> (taux mensuel, 36 périodes).</w:t>
      </w:r>
    </w:p>
    <w:p>
      <w:pPr>
        <w:pStyle w:val="Heading3"/>
        <w:spacing w:after="120" w:before="220"/>
      </w:pPr>
      <w:r>
        <w:rPr>
          <w:b/>
          <w:bCs/>
          <w:color w:val="2E5FA3"/>
        </w:rPr>
        <w:t xml:space="preserve">Compétence et notion du référentiel mobilisées</w:t>
      </w:r>
    </w:p>
    <w:p>
      <w:pPr>
        <w:pStyle w:val="ListParagraph"/>
        <w:numPr>
          <w:ilvl w:val="0"/>
          <w:numId w:val="2"/>
        </w:numPr>
        <w:spacing w:after="80" w:line="264"/>
        <w:jc w:val="both"/>
      </w:pPr>
      <w:r>
        <w:rPr>
          <w:b/>
          <w:bCs/>
        </w:rPr>
        <w:t xml:space="preserve">Bloc 3 – « Prévoir et budgétiser l'activité »</w:t>
      </w:r>
      <w:r>
        <w:t xml:space="preserve">, compétence « participer aux décisions d'investissement ».</w:t>
      </w:r>
    </w:p>
    <w:p>
      <w:pPr>
        <w:pStyle w:val="ListParagraph"/>
        <w:numPr>
          <w:ilvl w:val="0"/>
          <w:numId w:val="2"/>
        </w:numPr>
        <w:spacing w:after="80" w:line="264"/>
        <w:jc w:val="both"/>
      </w:pPr>
      <w:r>
        <w:rPr>
          <w:b/>
          <w:bCs/>
        </w:rPr>
        <w:t xml:space="preserve">Savoir associé : « Le financement de l'investissement »</w:t>
      </w:r>
      <w:r>
        <w:t xml:space="preserve">, dont les limites de savoirs citent expressément : « les outils de financement et leur intérêt économique ; les annuités ; le coût du crédit ». La LOA (crédit-bail pour un particulier) fait partie des outils de financement à connaître.</w:t>
      </w:r>
    </w:p>
    <w:p>
      <w:pPr>
        <w:pStyle w:val="ListParagraph"/>
        <w:numPr>
          <w:ilvl w:val="0"/>
          <w:numId w:val="2"/>
        </w:numPr>
        <w:spacing w:after="80" w:line="264"/>
        <w:jc w:val="both"/>
      </w:pPr>
      <w:r>
        <w:rPr>
          <w:b/>
          <w:bCs/>
        </w:rPr>
        <w:t xml:space="preserve">Objectif professionnel</w:t>
      </w:r>
      <w:r>
        <w:t xml:space="preserve"> : comparer objectivement des offres de financement, compétence quotidienne d'un manager qui investit (matériel, agencement, véhicule).</w:t>
      </w:r>
    </w:p>
    <w:p>
      <w:pPr>
        <w:pStyle w:val="Heading3"/>
        <w:spacing w:after="120" w:before="220"/>
      </w:pPr>
      <w:r>
        <w:rPr>
          <w:b/>
          <w:bCs/>
          <w:color w:val="2E5FA3"/>
        </w:rPr>
        <w:t xml:space="preserve">Rappel de cours</w:t>
      </w:r>
    </w:p>
    <w:p>
      <w:pPr>
        <w:spacing w:after="160" w:before="0" w:line="276"/>
        <w:jc w:val="both"/>
      </w:pPr>
      <w:r>
        <w:rPr>
          <w:b/>
          <w:bCs/>
        </w:rPr>
        <w:t xml:space="preserve">L'annuité constante</w:t>
      </w:r>
      <w:r>
        <w:t xml:space="preserve"> est la somme fixe versée à chaque période pour rembourser un emprunt : elle comprend une part d'intérêts (calculés sur le capital restant dû, donc décroissants) et une part d'amortissement du capital (croissante). La formule fournie par le sujet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rPr>
                <w:b/>
                <w:bCs/>
              </w:rPr>
              <w:t xml:space="preserve">a = V₀ × i / (1 − (1 + i)⁻ⁿ)</w:t>
            </w:r>
          </w:p>
          <w:p>
            <w:pPr>
              <w:spacing w:after="80" w:before="0" w:line="264"/>
            </w:pPr>
            <w:r>
              <w:t xml:space="preserve">V₀ = capital emprunté ; i = taux d'intérêt </w:t>
            </w:r>
            <w:r>
              <w:rPr>
                <w:b/>
                <w:bCs/>
              </w:rPr>
              <w:t xml:space="preserve">par période</w:t>
            </w:r>
            <w:r>
              <w:t xml:space="preserve"> ; n = nombre de périodes.</w:t>
            </w:r>
          </w:p>
          <w:p>
            <w:pPr>
              <w:spacing w:after="40" w:before="0" w:line="264"/>
            </w:pPr>
            <w:r>
              <w:t xml:space="preserve">À quoi sert-elle ? À calculer le versement périodique constant qui rembourse exactement V₀ en n périodes, intérêts compris. Comment l'interpréter ? Plus i est élevé ou n court, plus l'annuité est forte.</w:t>
            </w:r>
          </w:p>
        </w:tc>
      </w:tr>
    </w:tbl>
    <w:p>
      <w:pPr>
        <w:spacing w:after="100"/>
      </w:pPr>
    </w:p>
    <w:p>
      <w:pPr>
        <w:spacing w:after="160" w:before="0" w:line="276"/>
        <w:jc w:val="both"/>
      </w:pPr>
      <w:r>
        <w:rPr>
          <w:b/>
          <w:bCs/>
        </w:rPr>
        <w:t xml:space="preserve">Le taux mensuel proportionnel</w:t>
      </w:r>
      <w:r>
        <w:t xml:space="preserve"> s'obtient en divisant simplement le taux annuel par 12 : i = 2,16 % / 12 = 0,18 % = 0,0018. C'est la convention bancaire usuelle pour les crédits classiques (à distinguer du taux mensuel </w:t>
      </w:r>
      <w:r>
        <w:rPr>
          <w:i/>
          <w:iCs/>
        </w:rPr>
        <w:t xml:space="preserve">équivalent</w:t>
      </w:r>
      <w:r>
        <w:t xml:space="preserve">, qui utiliserait une racine douzième — hors programme ici, et surtout hors énoncé : le sujet précise « taux mensuel proportionnel », suivez-le).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rPr>
                <w:b/>
                <w:bCs/>
              </w:rPr>
              <w:t xml:space="preserve">Coût du crédit = (mensualité × nombre de mensualités) − capital emprunté</w:t>
            </w:r>
          </w:p>
          <w:p>
            <w:pPr>
              <w:spacing w:after="40" w:before="0" w:line="264"/>
            </w:pPr>
            <w:r>
              <w:t xml:space="preserve">C'est le total des intérêts payés. C'est LE chiffre qui permet de comparer un emprunt à un autre mode de financement.</w:t>
            </w:r>
          </w:p>
        </w:tc>
      </w:tr>
    </w:tbl>
    <w:p>
      <w:pPr>
        <w:spacing w:after="100"/>
      </w:pPr>
    </w:p>
    <w:p>
      <w:pPr>
        <w:spacing w:after="160" w:before="0" w:line="276"/>
        <w:jc w:val="both"/>
      </w:pPr>
      <w:r>
        <w:rPr>
          <w:b/>
          <w:bCs/>
        </w:rPr>
        <w:t xml:space="preserve">La location avec option d'achat (LOA)</w:t>
      </w:r>
      <w:r>
        <w:t xml:space="preserve"> : l'entreprise loue le bien et peut, au terme du contrat, l'acheter pour un montant convenu (l'option). Son coût total = somme des loyers + prix de l'option (si elle est levée). Avantages classiques : pas d'endettement au bilan, étalement des décaissements ; inconvénients : coût global souvent supérieur, l'entreprise n'est propriétaire qu'à la levée de l'option.</w:t>
      </w:r>
    </w:p>
    <w:p>
      <w:pPr>
        <w:spacing w:after="160" w:before="0" w:line="276"/>
        <w:jc w:val="both"/>
      </w:pPr>
      <w:r>
        <w:rPr>
          <w:b/>
          <w:bCs/>
        </w:rPr>
        <w:t xml:space="preserve">Différence à ne pas confondre</w:t>
      </w:r>
      <w:r>
        <w:t xml:space="preserve"> : la mensualité d'emprunt rembourse un capital dont on est </w:t>
      </w:r>
      <w:r>
        <w:rPr>
          <w:b/>
          <w:bCs/>
        </w:rPr>
        <w:t xml:space="preserve">propriétaire dès le départ</w:t>
      </w:r>
      <w:r>
        <w:t xml:space="preserve"> ; le loyer de LOA rémunère un </w:t>
      </w:r>
      <w:r>
        <w:rPr>
          <w:b/>
          <w:bCs/>
        </w:rPr>
        <w:t xml:space="preserve">usage</w:t>
      </w:r>
      <w:r>
        <w:t xml:space="preserve"> — sans levée d'option, on a payé sans rien posséder.</w:t>
      </w:r>
    </w:p>
    <w:p>
      <w:pPr>
        <w:pStyle w:val="Heading3"/>
        <w:spacing w:after="120" w:before="220"/>
      </w:pPr>
      <w:r>
        <w:rPr>
          <w:b/>
          <w:bCs/>
          <w:color w:val="2E5FA3"/>
        </w:rPr>
        <w:t xml:space="preserve">Méthode à appliquer</w:t>
      </w:r>
    </w:p>
    <w:p>
      <w:pPr>
        <w:pStyle w:val="ListParagraph"/>
        <w:numPr>
          <w:ilvl w:val="0"/>
          <w:numId w:val="2"/>
        </w:numPr>
        <w:spacing w:after="80" w:line="264"/>
        <w:jc w:val="both"/>
      </w:pPr>
      <w:r>
        <w:rPr>
          <w:b/>
          <w:bCs/>
        </w:rPr>
        <w:t xml:space="preserve">Étape 1</w:t>
      </w:r>
      <w:r>
        <w:t xml:space="preserve"> – Convertir le taux : i = 2,16 % / 12 = 0,18 % par mois ; déterminer n = 3 × 12 = 36 mensualités.</w:t>
      </w:r>
    </w:p>
    <w:p>
      <w:pPr>
        <w:pStyle w:val="ListParagraph"/>
        <w:numPr>
          <w:ilvl w:val="0"/>
          <w:numId w:val="2"/>
        </w:numPr>
        <w:spacing w:after="80" w:line="264"/>
        <w:jc w:val="both"/>
      </w:pPr>
      <w:r>
        <w:rPr>
          <w:b/>
          <w:bCs/>
        </w:rPr>
        <w:t xml:space="preserve">Étape 2</w:t>
      </w:r>
      <w:r>
        <w:t xml:space="preserve"> – Appliquer la formule de l'annuité pour obtenir la mensualité </w:t>
      </w:r>
      <w:r>
        <w:rPr>
          <w:b/>
          <w:bCs/>
        </w:rPr>
        <w:t xml:space="preserve">a</w:t>
      </w:r>
      <w:r>
        <w:t xml:space="preserve">.</w:t>
      </w:r>
    </w:p>
    <w:p>
      <w:pPr>
        <w:pStyle w:val="ListParagraph"/>
        <w:numPr>
          <w:ilvl w:val="0"/>
          <w:numId w:val="2"/>
        </w:numPr>
        <w:spacing w:after="80" w:line="264"/>
        <w:jc w:val="both"/>
      </w:pPr>
      <w:r>
        <w:rPr>
          <w:b/>
          <w:bCs/>
        </w:rPr>
        <w:t xml:space="preserve">Étape 3</w:t>
      </w:r>
      <w:r>
        <w:t xml:space="preserve"> – Calculer le coût total de la solution 1 : a × 36, puis le coût du crédit : a × 36 − 7 200.</w:t>
      </w:r>
    </w:p>
    <w:p>
      <w:pPr>
        <w:pStyle w:val="ListParagraph"/>
        <w:numPr>
          <w:ilvl w:val="0"/>
          <w:numId w:val="2"/>
        </w:numPr>
        <w:spacing w:after="80" w:line="264"/>
        <w:jc w:val="both"/>
      </w:pPr>
      <w:r>
        <w:rPr>
          <w:b/>
          <w:bCs/>
        </w:rPr>
        <w:t xml:space="preserve">Étape 4</w:t>
      </w:r>
      <w:r>
        <w:t xml:space="preserve"> – Calculer le coût total de la solution 2 : 1 500 + (35 × 150) + 2 000. Attention : le premier loyer est majoré, il n'y a donc que </w:t>
      </w:r>
      <w:r>
        <w:rPr>
          <w:b/>
          <w:bCs/>
        </w:rPr>
        <w:t xml:space="preserve">35</w:t>
      </w:r>
      <w:r>
        <w:t xml:space="preserve"> loyers de 150 €, pas 36.</w:t>
      </w:r>
    </w:p>
    <w:p>
      <w:pPr>
        <w:pStyle w:val="ListParagraph"/>
        <w:numPr>
          <w:ilvl w:val="0"/>
          <w:numId w:val="2"/>
        </w:numPr>
        <w:spacing w:after="80" w:line="264"/>
        <w:jc w:val="both"/>
      </w:pPr>
      <w:r>
        <w:rPr>
          <w:b/>
          <w:bCs/>
        </w:rPr>
        <w:t xml:space="preserve">Étape 5</w:t>
      </w:r>
      <w:r>
        <w:t xml:space="preserve"> – Présenter un tableau comparatif et vérifier la cohérence (un crédit à 2,16 % sur 3 ans doit coûter « quelques centaines d'euros » d'intérêts sur 7 200 € : si vous trouvez 3 000 €, votre taux est resté annuel).</w:t>
      </w:r>
    </w:p>
    <w:p>
      <w:pPr>
        <w:pStyle w:val="ListParagraph"/>
        <w:numPr>
          <w:ilvl w:val="0"/>
          <w:numId w:val="2"/>
        </w:numPr>
        <w:spacing w:after="80" w:line="264"/>
        <w:jc w:val="both"/>
      </w:pPr>
      <w:r>
        <w:rPr>
          <w:b/>
          <w:bCs/>
        </w:rPr>
        <w:t xml:space="preserve">Étape 6</w:t>
      </w:r>
      <w:r>
        <w:t xml:space="preserve"> – Chiffrer l'écart entre les deux solutions.</w:t>
      </w:r>
    </w:p>
    <w:p>
      <w:pPr>
        <w:pBdr>
          <w:left w:val="single" w:color="2E5FA3" w:sz="18" w:space="8"/>
        </w:pBdr>
        <w:spacing w:after="160" w:before="60" w:line="276"/>
        <w:ind w:left="360"/>
      </w:pPr>
      <w:r>
        <w:rPr>
          <w:i/>
          <w:iCs/>
          <w:color w:val="2E5FA3"/>
        </w:rPr>
        <w:t xml:space="preserve">Même si votre calculatrice fait le calcul en une ligne, écrivez la formule avec les valeurs substituées : a = 7 200 × 0,0018 / (1 − (1,0018)⁻³⁶). C'est cette ligne que le correcteur valorise, car elle prouve que vous savez adapter la formule au rythme mensuel — c'est précisément la difficulté testée.</w:t>
      </w:r>
    </w:p>
    <w:p>
      <w:pPr>
        <w:pStyle w:val="Heading3"/>
        <w:spacing w:after="120" w:before="220"/>
      </w:pPr>
      <w:r>
        <w:rPr>
          <w:b/>
          <w:bCs/>
          <w:color w:val="2E5FA3"/>
        </w:rPr>
        <w:t xml:space="preserve">Correction détaillée</w:t>
      </w:r>
    </w:p>
    <w:p>
      <w:pPr>
        <w:spacing w:after="160" w:before="0" w:line="276"/>
        <w:jc w:val="both"/>
      </w:pPr>
      <w:r>
        <w:rPr>
          <w:b/>
          <w:bCs/>
        </w:rPr>
        <w:t xml:space="preserve">Solution 1 – Achat financé par emprunt à 100 %</w:t>
      </w:r>
    </w:p>
    <w:p>
      <w:pPr>
        <w:pStyle w:val="ListParagraph"/>
        <w:numPr>
          <w:ilvl w:val="0"/>
          <w:numId w:val="2"/>
        </w:numPr>
        <w:spacing w:after="80" w:line="264"/>
        <w:jc w:val="both"/>
      </w:pPr>
      <w:r>
        <w:t xml:space="preserve">Taux mensuel proportionnel : i = 2,16 % ÷ 12 = </w:t>
      </w:r>
      <w:r>
        <w:rPr>
          <w:b/>
          <w:bCs/>
        </w:rPr>
        <w:t xml:space="preserve">0,18 % = 0,0018</w:t>
      </w:r>
    </w:p>
    <w:p>
      <w:pPr>
        <w:pStyle w:val="ListParagraph"/>
        <w:numPr>
          <w:ilvl w:val="0"/>
          <w:numId w:val="2"/>
        </w:numPr>
        <w:spacing w:after="80" w:line="264"/>
        <w:jc w:val="both"/>
      </w:pPr>
      <w:r>
        <w:t xml:space="preserve">Nombre de périodes : n = 3 ans × 12 = </w:t>
      </w:r>
      <w:r>
        <w:rPr>
          <w:b/>
          <w:bCs/>
        </w:rPr>
        <w:t xml:space="preserve">36 mensualités</w:t>
      </w:r>
    </w:p>
    <w:p>
      <w:pPr>
        <w:pStyle w:val="ListParagraph"/>
        <w:numPr>
          <w:ilvl w:val="0"/>
          <w:numId w:val="2"/>
        </w:numPr>
        <w:spacing w:after="80" w:line="264"/>
        <w:jc w:val="both"/>
      </w:pPr>
      <w:r>
        <w:t xml:space="preserve">Mensualité : a = 7 200 × 0,0018 / (1 − (1,0018)⁻³⁶) = 12,96 / 0,062691 ≈ </w:t>
      </w:r>
      <w:r>
        <w:rPr>
          <w:b/>
          <w:bCs/>
        </w:rPr>
        <w:t xml:space="preserve">206,73 €</w:t>
      </w:r>
    </w:p>
    <w:p>
      <w:pPr>
        <w:pStyle w:val="ListParagraph"/>
        <w:numPr>
          <w:ilvl w:val="0"/>
          <w:numId w:val="2"/>
        </w:numPr>
        <w:spacing w:after="80" w:line="264"/>
        <w:jc w:val="both"/>
      </w:pPr>
      <w:r>
        <w:t xml:space="preserve">Total remboursé : 206,73 × 36 = </w:t>
      </w:r>
      <w:r>
        <w:rPr>
          <w:b/>
          <w:bCs/>
        </w:rPr>
        <w:t xml:space="preserve">7 442,28 €</w:t>
      </w:r>
    </w:p>
    <w:p>
      <w:pPr>
        <w:pStyle w:val="ListParagraph"/>
        <w:numPr>
          <w:ilvl w:val="0"/>
          <w:numId w:val="2"/>
        </w:numPr>
        <w:spacing w:after="80" w:line="264"/>
        <w:jc w:val="both"/>
      </w:pPr>
      <w:r>
        <w:t xml:space="preserve">Coût du crédit (intérêts) : 7 442,28 − 7 200 = </w:t>
      </w:r>
      <w:r>
        <w:rPr>
          <w:b/>
          <w:bCs/>
        </w:rPr>
        <w:t xml:space="preserve">242,28 €</w:t>
      </w:r>
    </w:p>
    <w:p>
      <w:pPr>
        <w:spacing w:after="100"/>
      </w:pPr>
    </w:p>
    <w:p>
      <w:pPr>
        <w:spacing w:after="160" w:before="0" w:line="276"/>
        <w:jc w:val="both"/>
      </w:pPr>
      <w:r>
        <w:rPr>
          <w:b/>
          <w:bCs/>
        </w:rPr>
        <w:t xml:space="preserve">Solution 2 – Location avec option d'achat</w:t>
      </w:r>
    </w:p>
    <w:p>
      <w:pPr>
        <w:pStyle w:val="ListParagraph"/>
        <w:numPr>
          <w:ilvl w:val="0"/>
          <w:numId w:val="2"/>
        </w:numPr>
        <w:spacing w:after="80" w:line="264"/>
        <w:jc w:val="both"/>
      </w:pPr>
      <w:r>
        <w:t xml:space="preserve">Loyers : 1 500 + (35 × 150) = 1 500 + 5 250 = </w:t>
      </w:r>
      <w:r>
        <w:rPr>
          <w:b/>
          <w:bCs/>
        </w:rPr>
        <w:t xml:space="preserve">6 750 €</w:t>
      </w:r>
    </w:p>
    <w:p>
      <w:pPr>
        <w:pStyle w:val="ListParagraph"/>
        <w:numPr>
          <w:ilvl w:val="0"/>
          <w:numId w:val="2"/>
        </w:numPr>
        <w:spacing w:after="80" w:line="264"/>
        <w:jc w:val="both"/>
      </w:pPr>
      <w:r>
        <w:t xml:space="preserve">Option d'achat : + 2 000 € → coût total avec acquisition du van : 6 750 + 2 000 = </w:t>
      </w:r>
      <w:r>
        <w:rPr>
          <w:b/>
          <w:bCs/>
        </w:rPr>
        <w:t xml:space="preserve">8 750 €</w:t>
      </w:r>
    </w:p>
    <w:p>
      <w:pPr>
        <w:spacing w:after="100"/>
      </w:pPr>
    </w:p>
    <w:p>
      <w:pPr>
        <w:spacing w:after="160" w:before="0" w:line="276"/>
        <w:jc w:val="both"/>
      </w:pPr>
      <w:r>
        <w:rPr>
          <w:b/>
          <w:bCs/>
        </w:rPr>
        <w:t xml:space="preserve">Tableau comparatif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180"/>
        <w:gridCol w:w="3180"/>
      </w:tblGrid>
      <w:tr>
        <w:trPr>
          <w:tblHeader/>
        </w:trPr>
        <w:tc>
          <w:tcPr>
            <w:tcW w:type="dxa" w:w="30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left"/>
            </w:pPr>
            <w:r>
              <w:rPr>
                <w:b/>
                <w:bCs/>
                <w:color w:val="FFFFFF"/>
                <w:sz w:val="20"/>
                <w:szCs w:val="20"/>
              </w:rPr>
              <w:t xml:space="preserve">Élément</w:t>
            </w:r>
          </w:p>
        </w:tc>
        <w:tc>
          <w:tcPr>
            <w:tcW w:type="dxa" w:w="318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Solution 1 : achat + emprunt</w:t>
            </w:r>
          </w:p>
        </w:tc>
        <w:tc>
          <w:tcPr>
            <w:tcW w:type="dxa" w:w="318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Solution 2 : LOA (option levée)</w:t>
            </w:r>
          </w:p>
        </w:tc>
      </w:tr>
      <w:tr>
        <w:tc>
          <w:tcPr>
            <w:tcW w:type="dxa" w:w="30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b w:val="false"/>
                <w:bCs w:val="false"/>
                <w:color w:val="000000"/>
                <w:sz w:val="20"/>
                <w:szCs w:val="20"/>
              </w:rPr>
              <w:t xml:space="preserve">Décaissement initial</w:t>
            </w:r>
          </w:p>
        </w:tc>
        <w:tc>
          <w:tcPr>
            <w:tcW w:type="dxa" w:w="31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0 € (financement à 100 %)</w:t>
            </w:r>
          </w:p>
        </w:tc>
        <w:tc>
          <w:tcPr>
            <w:tcW w:type="dxa" w:w="31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1 500 € (premier loyer majoré)</w:t>
            </w:r>
          </w:p>
        </w:tc>
      </w:tr>
      <w:tr>
        <w:tc>
          <w:tcPr>
            <w:tcW w:type="dxa" w:w="30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b w:val="false"/>
                <w:bCs w:val="false"/>
                <w:color w:val="000000"/>
                <w:sz w:val="20"/>
                <w:szCs w:val="20"/>
              </w:rPr>
              <w:t xml:space="preserve">Versements périodiques</w:t>
            </w:r>
          </w:p>
        </w:tc>
        <w:tc>
          <w:tcPr>
            <w:tcW w:type="dxa" w:w="31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36 × 206,73 €</w:t>
            </w:r>
          </w:p>
        </w:tc>
        <w:tc>
          <w:tcPr>
            <w:tcW w:type="dxa" w:w="31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35 × 150 €</w:t>
            </w:r>
          </w:p>
        </w:tc>
      </w:tr>
      <w:tr>
        <w:tc>
          <w:tcPr>
            <w:tcW w:type="dxa" w:w="30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b w:val="false"/>
                <w:bCs w:val="false"/>
                <w:color w:val="000000"/>
                <w:sz w:val="20"/>
                <w:szCs w:val="20"/>
              </w:rPr>
              <w:t xml:space="preserve">Versement final</w:t>
            </w:r>
          </w:p>
        </w:tc>
        <w:tc>
          <w:tcPr>
            <w:tcW w:type="dxa" w:w="31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w:t>
            </w:r>
          </w:p>
        </w:tc>
        <w:tc>
          <w:tcPr>
            <w:tcW w:type="dxa" w:w="31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2 000 € (option d'achat)</w:t>
            </w:r>
          </w:p>
        </w:tc>
      </w:tr>
      <w:tr>
        <w:tc>
          <w:tcPr>
            <w:tcW w:type="dxa" w:w="300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left"/>
            </w:pPr>
            <w:r>
              <w:rPr>
                <w:b/>
                <w:bCs/>
                <w:color w:val="000000"/>
                <w:sz w:val="20"/>
                <w:szCs w:val="20"/>
              </w:rPr>
              <w:t xml:space="preserve">Coût total</w:t>
            </w:r>
          </w:p>
        </w:tc>
        <w:tc>
          <w:tcPr>
            <w:tcW w:type="dxa" w:w="318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center"/>
            </w:pPr>
            <w:r>
              <w:rPr>
                <w:b/>
                <w:bCs/>
                <w:color w:val="000000"/>
                <w:sz w:val="20"/>
                <w:szCs w:val="20"/>
              </w:rPr>
              <w:t xml:space="preserve">7 442,28 €</w:t>
            </w:r>
          </w:p>
        </w:tc>
        <w:tc>
          <w:tcPr>
            <w:tcW w:type="dxa" w:w="318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center"/>
            </w:pPr>
            <w:r>
              <w:rPr>
                <w:b/>
                <w:bCs/>
                <w:color w:val="000000"/>
                <w:sz w:val="20"/>
                <w:szCs w:val="20"/>
              </w:rPr>
              <w:t xml:space="preserve">8 750,00 €</w:t>
            </w:r>
          </w:p>
        </w:tc>
      </w:tr>
      <w:tr>
        <w:tc>
          <w:tcPr>
            <w:tcW w:type="dxa" w:w="30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b w:val="false"/>
                <w:bCs w:val="false"/>
                <w:color w:val="000000"/>
                <w:sz w:val="20"/>
                <w:szCs w:val="20"/>
              </w:rPr>
              <w:t xml:space="preserve">Surcoût vs valeur du van (7 200 €)</w:t>
            </w:r>
          </w:p>
        </w:tc>
        <w:tc>
          <w:tcPr>
            <w:tcW w:type="dxa" w:w="31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242,28 € (coût du crédit)</w:t>
            </w:r>
          </w:p>
        </w:tc>
        <w:tc>
          <w:tcPr>
            <w:tcW w:type="dxa" w:w="31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1 550,00 €</w:t>
            </w:r>
          </w:p>
        </w:tc>
      </w:tr>
      <w:tr>
        <w:tc>
          <w:tcPr>
            <w:tcW w:type="dxa" w:w="30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b w:val="false"/>
                <w:bCs w:val="false"/>
                <w:color w:val="000000"/>
                <w:sz w:val="20"/>
                <w:szCs w:val="20"/>
              </w:rPr>
              <w:t xml:space="preserve">Propriété du van</w:t>
            </w:r>
          </w:p>
        </w:tc>
        <w:tc>
          <w:tcPr>
            <w:tcW w:type="dxa" w:w="31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Immédiate</w:t>
            </w:r>
          </w:p>
        </w:tc>
        <w:tc>
          <w:tcPr>
            <w:tcW w:type="dxa" w:w="31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Seulement à la levée de l'option (fin d'année 3)</w:t>
            </w:r>
          </w:p>
        </w:tc>
      </w:tr>
    </w:tbl>
    <w:p>
      <w:pPr>
        <w:spacing w:after="100"/>
      </w:pPr>
    </w:p>
    <w:p>
      <w:pPr>
        <w:spacing w:after="160" w:before="0" w:line="276"/>
        <w:jc w:val="both"/>
      </w:pPr>
      <w:r>
        <w:t xml:space="preserve">Écart entre les deux solutions : 8 750 − 7 442,28 = </w:t>
      </w:r>
      <w:r>
        <w:rPr>
          <w:b/>
          <w:bCs/>
        </w:rPr>
        <w:t xml:space="preserve">1 307,72 €</w:t>
      </w:r>
      <w:r>
        <w:t xml:space="preserve"> en faveur de l'achat financé par emprunt. Sans levée d'option, la LOA ne coûte « que » 6 750 €, mais la sellerie ne serait pas propriétaire du van au terme des 3 ans — la comparaison à périmètre équivalent (devenir propriétaire) impose d'intégrer l'option.</w:t>
      </w:r>
    </w:p>
    <w:p>
      <w:pPr>
        <w:pStyle w:val="Heading3"/>
        <w:spacing w:after="120" w:before="220"/>
      </w:pPr>
      <w:r>
        <w:rPr>
          <w:b/>
          <w:bCs/>
          <w:color w:val="2E5FA3"/>
        </w:rPr>
        <w:t xml:space="preserve">Interprétation du résultat</w:t>
      </w:r>
    </w:p>
    <w:p>
      <w:pPr>
        <w:pStyle w:val="ListParagraph"/>
        <w:numPr>
          <w:ilvl w:val="0"/>
          <w:numId w:val="2"/>
        </w:numPr>
        <w:spacing w:after="80" w:line="264"/>
        <w:jc w:val="both"/>
      </w:pPr>
      <w:r>
        <w:rPr>
          <w:b/>
          <w:bCs/>
        </w:rPr>
        <w:t xml:space="preserve">L'emprunt est nettement moins coûteux</w:t>
      </w:r>
      <w:r>
        <w:t xml:space="preserve"> : le crédit ne coûte que 242 € d'intérêts (taux très bas de 2,16 %), contre un surcoût de 1 550 € pour la LOA. L'écart de 1 308 € représente environ 18 % de la valeur du van : ce n'est pas marginal.</w:t>
      </w:r>
    </w:p>
    <w:p>
      <w:pPr>
        <w:pStyle w:val="ListParagraph"/>
        <w:numPr>
          <w:ilvl w:val="0"/>
          <w:numId w:val="2"/>
        </w:numPr>
        <w:spacing w:after="80" w:line="264"/>
        <w:jc w:val="both"/>
      </w:pPr>
      <w:r>
        <w:rPr>
          <w:b/>
          <w:bCs/>
        </w:rPr>
        <w:t xml:space="preserve">Sur le plan de la trésorerie mensuelle</w:t>
      </w:r>
      <w:r>
        <w:t xml:space="preserve">, la LOA paraît plus douce (150 €/mois contre 206,73 €), mais ce serait une lecture trompeuse : le premier loyer de 1 500 € pèse immédiatement sur une trésorerie que nous savons fragile (310 €), alors que l'emprunt à 100 % ne demande </w:t>
      </w:r>
      <w:r>
        <w:rPr>
          <w:b/>
          <w:bCs/>
        </w:rPr>
        <w:t xml:space="preserve">aucun décaissement initial</w:t>
      </w:r>
      <w:r>
        <w:t xml:space="preserve">.</w:t>
      </w:r>
    </w:p>
    <w:p>
      <w:pPr>
        <w:pStyle w:val="ListParagraph"/>
        <w:numPr>
          <w:ilvl w:val="0"/>
          <w:numId w:val="2"/>
        </w:numPr>
        <w:spacing w:after="80" w:line="264"/>
        <w:jc w:val="both"/>
      </w:pPr>
      <w:r>
        <w:rPr>
          <w:b/>
          <w:bCs/>
        </w:rPr>
        <w:t xml:space="preserve">Cause de l'écart</w:t>
      </w:r>
      <w:r>
        <w:t xml:space="preserve"> : la LOA intègre la marge du loueur et le risque qu'il porte ; </w:t>
      </w:r>
      <w:r>
        <w:rPr>
          <w:b/>
          <w:bCs/>
        </w:rPr>
        <w:t xml:space="preserve">conséquence</w:t>
      </w:r>
      <w:r>
        <w:t xml:space="preserve"> pour Equi'Dam : payer plus cher le même bien ; </w:t>
      </w:r>
      <w:r>
        <w:rPr>
          <w:b/>
          <w:bCs/>
        </w:rPr>
        <w:t xml:space="preserve">décision</w:t>
      </w:r>
      <w:r>
        <w:t xml:space="preserve"> : sauf contrainte d'endettement (il n'y en a pas, cf. 1.1), l'emprunt s'impose.</w:t>
      </w:r>
    </w:p>
    <w:p>
      <w:pPr>
        <w:pStyle w:val="Heading3"/>
        <w:spacing w:after="120" w:before="220"/>
      </w:pPr>
      <w:r>
        <w:rPr>
          <w:b/>
          <w:bCs/>
          <w:color w:val="2E5FA3"/>
        </w:rPr>
        <w:t xml:space="preserve">Réponse rédigée attendue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D32" w:sz="6"/>
              <w:left w:val="single" w:color="2E7D32" w:sz="24"/>
              <w:bottom w:val="single" w:color="2E7D32" w:sz="6"/>
              <w:right w:val="single" w:color="2E7D32" w:sz="6"/>
            </w:tcBorders>
            <w:shd w:fill="F2F6FB" w:val="clear"/>
            <w:tcMar>
              <w:top w:type="dxa" w:w="120"/>
              <w:left w:type="dxa" w:w="200"/>
              <w:bottom w:type="dxa" w:w="120"/>
              <w:right w:type="dxa" w:w="200"/>
            </w:tcMar>
          </w:tcPr>
          <w:p>
            <w:pPr>
              <w:spacing w:after="80" w:before="40" w:line="264"/>
            </w:pPr>
            <w:r>
              <w:t xml:space="preserve">Solution 1 : au taux mensuel proportionnel de 2,16 %/12 = 0,18 %, la mensualité s'élève à a = 7 200 × 0,0018 / (1 − 1,0018⁻³⁶) ≈ 206,73 €. Le coût total de l'achat financé par emprunt est de 206,73 × 36 = 7 442,28 €, soit un coût du crédit de 242,28 €.</w:t>
            </w:r>
          </w:p>
          <w:p>
            <w:pPr>
              <w:spacing w:after="80" w:before="0" w:line="264"/>
            </w:pPr>
            <w:r>
              <w:t xml:space="preserve">Solution 2 : la LOA coûte 1 500 + 35 × 150 = 6 750 € de loyers, plus 2 000 € d'option d'achat, soit 8 750 € pour devenir propriétaire du van.</w:t>
            </w:r>
          </w:p>
          <w:p>
            <w:pPr>
              <w:spacing w:after="40" w:before="0" w:line="264"/>
            </w:pPr>
            <w:r>
              <w:rPr>
                <w:b/>
                <w:bCs/>
              </w:rPr>
              <w:t xml:space="preserve">L'achat financé par emprunt est la solution la moins onéreuse, avec un écart de 1 307,72 € (7 442,28 € contre 8 750 €), et rend la sellerie immédiatement propriétaire du van sans décaissement initial.</w:t>
            </w:r>
          </w:p>
        </w:tc>
      </w:tr>
    </w:tbl>
    <w:p>
      <w:pPr>
        <w:pStyle w:val="Heading3"/>
        <w:spacing w:after="120" w:before="220"/>
      </w:pPr>
      <w:r>
        <w:rPr>
          <w:b/>
          <w:bCs/>
          <w:color w:val="2E5FA3"/>
        </w:rPr>
        <w:t xml:space="preserve">Conseils du correcteur</w:t>
      </w:r>
    </w:p>
    <w:p>
      <w:pPr>
        <w:pStyle w:val="ListParagraph"/>
        <w:numPr>
          <w:ilvl w:val="0"/>
          <w:numId w:val="2"/>
        </w:numPr>
        <w:spacing w:after="80" w:line="264"/>
        <w:jc w:val="both"/>
      </w:pPr>
      <w:r>
        <w:t xml:space="preserve">La conversion </w:t>
      </w:r>
      <w:r>
        <w:rPr>
          <w:b/>
          <w:bCs/>
        </w:rPr>
        <w:t xml:space="preserve">taux annuel → taux mensuel</w:t>
      </w:r>
      <w:r>
        <w:t xml:space="preserve"> et </w:t>
      </w:r>
      <w:r>
        <w:rPr>
          <w:b/>
          <w:bCs/>
        </w:rPr>
        <w:t xml:space="preserve">3 ans → 36 périodes</w:t>
      </w:r>
      <w:r>
        <w:t xml:space="preserve"> est le cœur de l'évaluation. Écrivez-la explicitement.</w:t>
      </w:r>
    </w:p>
    <w:p>
      <w:pPr>
        <w:pStyle w:val="ListParagraph"/>
        <w:numPr>
          <w:ilvl w:val="0"/>
          <w:numId w:val="2"/>
        </w:numPr>
        <w:spacing w:after="80" w:line="264"/>
        <w:jc w:val="both"/>
      </w:pPr>
      <w:r>
        <w:t xml:space="preserve">Arrondissez la mensualité au </w:t>
      </w:r>
      <w:r>
        <w:rPr>
          <w:b/>
          <w:bCs/>
        </w:rPr>
        <w:t xml:space="preserve">centime</w:t>
      </w:r>
      <w:r>
        <w:t xml:space="preserve"> (206,73 €) et conservez cet arrondi pour la suite : le correcteur admet 7 442,28 € comme 7 442,17 € (si vous gardez plus de décimales) — ce qui compte, c'est la cohérence et l'ordre de grandeur.</w:t>
      </w:r>
    </w:p>
    <w:p>
      <w:pPr>
        <w:pStyle w:val="ListParagraph"/>
        <w:numPr>
          <w:ilvl w:val="0"/>
          <w:numId w:val="2"/>
        </w:numPr>
        <w:spacing w:after="80" w:line="264"/>
        <w:jc w:val="both"/>
      </w:pPr>
      <w:r>
        <w:t xml:space="preserve">Pensez à la </w:t>
      </w:r>
      <w:r>
        <w:rPr>
          <w:b/>
          <w:bCs/>
        </w:rPr>
        <w:t xml:space="preserve">ligne « 35 loyers »</w:t>
      </w:r>
      <w:r>
        <w:t xml:space="preserve"> : l'erreur 36 × 150 + 1 500 (= 6 900 €) est très fréquente. Le contrat dure 36 mois : 1 premier loyer + 35 loyers suivants.</w:t>
      </w:r>
    </w:p>
    <w:p>
      <w:pPr>
        <w:pStyle w:val="ListParagraph"/>
        <w:numPr>
          <w:ilvl w:val="0"/>
          <w:numId w:val="2"/>
        </w:numPr>
        <w:spacing w:after="80" w:line="264"/>
        <w:jc w:val="both"/>
      </w:pPr>
      <w:r>
        <w:t xml:space="preserve">Présentez un </w:t>
      </w:r>
      <w:r>
        <w:rPr>
          <w:b/>
          <w:bCs/>
        </w:rPr>
        <w:t xml:space="preserve">tableau comparatif</w:t>
      </w:r>
      <w:r>
        <w:t xml:space="preserve"> : c'est la forme professionnelle attendue pour une aide à la décision, et cela prépare la question 1.3.</w:t>
      </w:r>
    </w:p>
    <w:p>
      <w:pPr>
        <w:pStyle w:val="ListParagraph"/>
        <w:numPr>
          <w:ilvl w:val="0"/>
          <w:numId w:val="2"/>
        </w:numPr>
        <w:spacing w:after="80" w:line="264"/>
        <w:jc w:val="both"/>
      </w:pPr>
      <w:r>
        <w:t xml:space="preserve">Temps conseillé : </w:t>
      </w:r>
      <w:r>
        <w:rPr>
          <w:b/>
          <w:bCs/>
        </w:rPr>
        <w:t xml:space="preserve">20 minutes</w:t>
      </w:r>
      <w:r>
        <w:t xml:space="preserve">.</w:t>
      </w:r>
    </w:p>
    <w:p>
      <w:pPr>
        <w:pBdr>
          <w:left w:val="single" w:color="2E5FA3" w:sz="18" w:space="8"/>
        </w:pBdr>
        <w:spacing w:after="160" w:before="60" w:line="276"/>
        <w:ind w:left="360"/>
      </w:pPr>
      <w:r>
        <w:rPr>
          <w:i/>
          <w:iCs/>
          <w:color w:val="2E5FA3"/>
        </w:rPr>
        <w:t xml:space="preserve">Même si votre résultat numérique est juste, vous risquez de perdre une partie des points si vous ne comparez pas explicitement les deux coûts totaux dans une phrase de conclusion chiffrée. « Étudiez le coût pour chacune des solutions » signifie : calculez, puis rapprochez.</w:t>
      </w:r>
    </w:p>
    <w:p>
      <w:pPr>
        <w:pStyle w:val="Heading3"/>
        <w:spacing w:after="120" w:before="220"/>
      </w:pPr>
      <w:r>
        <w:rPr>
          <w:b/>
          <w:bCs/>
          <w:color w:val="2E5FA3"/>
        </w:rPr>
        <w:t xml:space="preserve">Les erreurs fréquentes à éviter</w:t>
      </w:r>
    </w:p>
    <w:p>
      <w:pPr>
        <w:pStyle w:val="ListParagraph"/>
        <w:numPr>
          <w:ilvl w:val="0"/>
          <w:numId w:val="2"/>
        </w:numPr>
        <w:spacing w:after="80" w:line="264"/>
        <w:jc w:val="both"/>
      </w:pPr>
      <w:r>
        <w:rPr>
          <w:b/>
          <w:bCs/>
        </w:rPr>
        <w:t xml:space="preserve">Utiliser le taux annuel dans la formule</w:t>
      </w:r>
      <w:r>
        <w:t xml:space="preserve"> avec n = 36 : vous obtenez une mensualité aberrante (~283 €) et un coût de crédit dix fois trop élevé.</w:t>
      </w:r>
    </w:p>
    <w:p>
      <w:pPr>
        <w:pStyle w:val="ListParagraph"/>
        <w:numPr>
          <w:ilvl w:val="0"/>
          <w:numId w:val="2"/>
        </w:numPr>
        <w:spacing w:after="80" w:line="264"/>
        <w:jc w:val="both"/>
      </w:pPr>
      <w:r>
        <w:rPr>
          <w:b/>
          <w:bCs/>
        </w:rPr>
        <w:t xml:space="preserve">Prendre n = 3</w:t>
      </w:r>
      <w:r>
        <w:t xml:space="preserve"> (annuités annuelles) alors que l'énoncé parle de mensualités : la structure du calcul est fausse.</w:t>
      </w:r>
    </w:p>
    <w:p>
      <w:pPr>
        <w:pStyle w:val="ListParagraph"/>
        <w:numPr>
          <w:ilvl w:val="0"/>
          <w:numId w:val="2"/>
        </w:numPr>
        <w:spacing w:after="80" w:line="264"/>
        <w:jc w:val="both"/>
      </w:pPr>
      <w:r>
        <w:rPr>
          <w:b/>
          <w:bCs/>
        </w:rPr>
        <w:t xml:space="preserve">Compter 36 loyers de 150 €</w:t>
      </w:r>
      <w:r>
        <w:t xml:space="preserve"> en plus du premier loyer, ou oublier l'option d'achat de 2 000 € dans le coût total de la LOA.</w:t>
      </w:r>
    </w:p>
    <w:p>
      <w:pPr>
        <w:pStyle w:val="ListParagraph"/>
        <w:numPr>
          <w:ilvl w:val="0"/>
          <w:numId w:val="2"/>
        </w:numPr>
        <w:spacing w:after="80" w:line="264"/>
        <w:jc w:val="both"/>
      </w:pPr>
      <w:r>
        <w:rPr>
          <w:b/>
          <w:bCs/>
        </w:rPr>
        <w:t xml:space="preserve">Comparer l'incomparable</w:t>
      </w:r>
      <w:r>
        <w:t xml:space="preserve"> : conclure que la LOA « coûte 6 750 € donc moins cher » sans préciser qu'à ce prix la sellerie n'est pas propriétaire.</w:t>
      </w:r>
    </w:p>
    <w:p>
      <w:pPr>
        <w:pStyle w:val="ListParagraph"/>
        <w:numPr>
          <w:ilvl w:val="0"/>
          <w:numId w:val="2"/>
        </w:numPr>
        <w:spacing w:after="80" w:line="264"/>
        <w:jc w:val="both"/>
      </w:pPr>
      <w:r>
        <w:rPr>
          <w:b/>
          <w:bCs/>
        </w:rPr>
        <w:t xml:space="preserve">Oublier les unités et les parenthèses</w:t>
      </w:r>
      <w:r>
        <w:t xml:space="preserve"> dans la formule : (1,0018)⁻³⁶ doit être calculé avant la soustraction.</w:t>
      </w:r>
    </w:p>
    <w:p>
      <w:pPr>
        <w:pStyle w:val="Heading3"/>
        <w:spacing w:after="120" w:before="220"/>
      </w:pPr>
      <w:r>
        <w:rPr>
          <w:b/>
          <w:bCs/>
          <w:color w:val="2E5FA3"/>
        </w:rPr>
        <w:t xml:space="preserve">Exemple complémentaire</w:t>
      </w:r>
    </w:p>
    <w:p>
      <w:pPr>
        <w:spacing w:after="160" w:before="0" w:line="276"/>
        <w:jc w:val="both"/>
      </w:pPr>
      <w:r>
        <w:rPr>
          <w:i/>
          <w:iCs/>
        </w:rPr>
        <w:t xml:space="preserve">Variante d'examen possible.</w:t>
      </w:r>
      <w:r>
        <w:t xml:space="preserve"> Un four professionnel de 12 000 € est financé par un emprunt sur 4 ans au taux annuel de 3 %, mensualités constantes au taux proportionnel. Mensualité : i = 0,25 % ; n = 48 ; a = 12 000 × 0,0025 / (1 − 1,0025⁻⁴⁸) ≈ 265,61 € ; coût du crédit = 265,61 × 48 − 12 000 ≈ 749 €. Entraînez-vous à refaire ce calcul en moins de 5 minutes : à l'examen, la formule est presque toujours fournie, la conversion du taux presque jamais.</w:t>
      </w:r>
    </w:p>
    <w:p>
      <w:pPr>
        <w:pStyle w:val="Heading3"/>
        <w:spacing w:after="120" w:before="220"/>
      </w:pPr>
      <w:r>
        <w:rPr>
          <w:b/>
          <w:bCs/>
          <w:color w:val="2E5FA3"/>
        </w:rPr>
        <w:t xml:space="preserve">À retenir pour l'examen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t xml:space="preserve">Taux mensuel proportionnel = taux annuel / 12 ; n = nombre d'années × 12.</w:t>
            </w:r>
          </w:p>
          <w:p>
            <w:pPr>
              <w:spacing w:after="80" w:before="0" w:line="264"/>
            </w:pPr>
            <w:r>
              <w:t xml:space="preserve">a = V₀ × i / (1 − (1 + i)⁻ⁿ) → mensualité constante.</w:t>
            </w:r>
          </w:p>
          <w:p>
            <w:pPr>
              <w:spacing w:after="80" w:before="0" w:line="264"/>
            </w:pPr>
            <w:r>
              <w:t xml:space="preserve">Coût du crédit = total des versements − capital emprunté.</w:t>
            </w:r>
          </w:p>
          <w:p>
            <w:pPr>
              <w:spacing w:after="80" w:before="0" w:line="264"/>
            </w:pPr>
            <w:r>
              <w:t xml:space="preserve">Coût d'une LOA = somme des loyers + option d'achat (si l'on veut devenir propriétaire).</w:t>
            </w:r>
          </w:p>
          <w:p>
            <w:pPr>
              <w:spacing w:after="40" w:before="0" w:line="264"/>
            </w:pPr>
            <w:r>
              <w:t xml:space="preserve">Toujours comparer les solutions à périmètre équivalent et conclure par un écart chiffré.</w:t>
            </w:r>
          </w:p>
        </w:tc>
      </w:tr>
    </w:tbl>
    <w:p>
      <w:pPr>
        <w:pStyle w:val="Heading2"/>
        <w:spacing w:after="180" w:before="280"/>
      </w:pPr>
      <w:r>
        <w:rPr>
          <w:b/>
          <w:bCs/>
          <w:color w:val="1F3864"/>
        </w:rPr>
        <w:t xml:space="preserve">Question 1.3 – Conseillez Pascale Prunet sur l'option à privilégier au regard de la situation financière</w:t>
      </w:r>
    </w:p>
    <w:p>
      <w:pPr>
        <w:pStyle w:val="Heading3"/>
        <w:spacing w:after="120" w:before="220"/>
      </w:pPr>
      <w:r>
        <w:rPr>
          <w:b/>
          <w:bCs/>
          <w:color w:val="2E5FA3"/>
        </w:rPr>
        <w:t xml:space="preserve">Ce que la question vous demande</w:t>
      </w:r>
    </w:p>
    <w:p>
      <w:pPr>
        <w:spacing w:after="160" w:before="0" w:line="276"/>
        <w:jc w:val="both"/>
      </w:pPr>
      <w:r>
        <w:t xml:space="preserve">C'est une question de </w:t>
      </w:r>
      <w:r>
        <w:rPr>
          <w:b/>
          <w:bCs/>
        </w:rPr>
        <w:t xml:space="preserve">synthèse et de recommandation argumentée</w:t>
      </w:r>
      <w:r>
        <w:t xml:space="preserve"> : vous devez croiser les résultats de la question 1.1 (diagnostic financier) et de la question 1.2 (comparaison des coûts) pour formuler un conseil. La formulation « au regard de la situation financière » est une consigne explicite : une réponse qui se contente de dire « l'emprunt est moins cher » sans mobiliser le FRNG, la capacité d'endettement et la trésorerie est </w:t>
      </w:r>
      <w:r>
        <w:rPr>
          <w:b/>
          <w:bCs/>
        </w:rPr>
        <w:t xml:space="preserve">hors sujet à moitié</w:t>
      </w:r>
      <w:r>
        <w:t xml:space="preserve">.</w:t>
      </w:r>
    </w:p>
    <w:p>
      <w:pPr>
        <w:spacing w:after="160" w:before="0" w:line="276"/>
        <w:jc w:val="both"/>
      </w:pPr>
      <w:r>
        <w:t xml:space="preserve">Forme attendue : une courte argumentation structurée (2 à 3 arguments) débouchant sur une recommandation claire et assumée. Pas de nouveaux calculs lourds — éventuellement le ratio d'endettement recalculé après emprunt, qui est le petit « plus » de la copie excellente.</w:t>
      </w:r>
    </w:p>
    <w:p>
      <w:pPr>
        <w:pStyle w:val="Heading3"/>
        <w:spacing w:after="120" w:before="220"/>
      </w:pPr>
      <w:r>
        <w:rPr>
          <w:b/>
          <w:bCs/>
          <w:color w:val="2E5FA3"/>
        </w:rPr>
        <w:t xml:space="preserve">Compétence et notion du référentiel mobilisées</w:t>
      </w:r>
    </w:p>
    <w:p>
      <w:pPr>
        <w:pStyle w:val="ListParagraph"/>
        <w:numPr>
          <w:ilvl w:val="0"/>
          <w:numId w:val="2"/>
        </w:numPr>
        <w:spacing w:after="80" w:line="264"/>
        <w:jc w:val="both"/>
      </w:pPr>
      <w:r>
        <w:rPr>
          <w:b/>
          <w:bCs/>
        </w:rPr>
        <w:t xml:space="preserve">Bloc 3 – « Prévoir et budgétiser l'activité »</w:t>
      </w:r>
      <w:r>
        <w:t xml:space="preserve"> : participer aux décisions d'investissement ; </w:t>
      </w:r>
      <w:r>
        <w:rPr>
          <w:b/>
          <w:bCs/>
        </w:rPr>
        <w:t xml:space="preserve">« Analyser les performances »</w:t>
      </w:r>
      <w:r>
        <w:t xml:space="preserve"> : rendre compte. Le critère d'évaluation du référentiel est explicite : « les propositions de décision d'investissement sont pertinentes ».</w:t>
      </w:r>
    </w:p>
    <w:p>
      <w:pPr>
        <w:pStyle w:val="ListParagraph"/>
        <w:numPr>
          <w:ilvl w:val="0"/>
          <w:numId w:val="2"/>
        </w:numPr>
        <w:spacing w:after="80" w:line="264"/>
        <w:jc w:val="both"/>
      </w:pPr>
      <w:r>
        <w:rPr>
          <w:b/>
          <w:bCs/>
        </w:rPr>
        <w:t xml:space="preserve">Savoirs associés</w:t>
      </w:r>
      <w:r>
        <w:t xml:space="preserve"> : le financement de l'investissement (intérêt économique des outils de financement), le bilan (équilibre financier).</w:t>
      </w:r>
    </w:p>
    <w:p>
      <w:pPr>
        <w:pStyle w:val="ListParagraph"/>
        <w:numPr>
          <w:ilvl w:val="0"/>
          <w:numId w:val="2"/>
        </w:numPr>
        <w:spacing w:after="80" w:line="264"/>
        <w:jc w:val="both"/>
      </w:pPr>
      <w:r>
        <w:rPr>
          <w:b/>
          <w:bCs/>
        </w:rPr>
        <w:t xml:space="preserve">Objectif professionnel</w:t>
      </w:r>
      <w:r>
        <w:t xml:space="preserve"> : produire un </w:t>
      </w:r>
      <w:r>
        <w:rPr>
          <w:i/>
          <w:iCs/>
        </w:rPr>
        <w:t xml:space="preserve">reporting</w:t>
      </w:r>
      <w:r>
        <w:t xml:space="preserve"> d'aide à la décision pour la dirigeante — exactement la mission confiée dans le contexte.</w:t>
      </w:r>
    </w:p>
    <w:p>
      <w:pPr>
        <w:pStyle w:val="Heading3"/>
        <w:spacing w:after="120" w:before="220"/>
      </w:pPr>
      <w:r>
        <w:rPr>
          <w:b/>
          <w:bCs/>
          <w:color w:val="2E5FA3"/>
        </w:rPr>
        <w:t xml:space="preserve">Rappel de cours</w:t>
      </w:r>
    </w:p>
    <w:p>
      <w:pPr>
        <w:spacing w:after="160" w:before="0" w:line="276"/>
        <w:jc w:val="both"/>
      </w:pPr>
      <w:r>
        <w:t xml:space="preserve">Une </w:t>
      </w:r>
      <w:r>
        <w:rPr>
          <w:b/>
          <w:bCs/>
        </w:rPr>
        <w:t xml:space="preserve">recommandation professionnelle</w:t>
      </w:r>
      <w:r>
        <w:t xml:space="preserve"> se construit toujours en trois temps : (1) le </w:t>
      </w:r>
      <w:r>
        <w:rPr>
          <w:b/>
          <w:bCs/>
        </w:rPr>
        <w:t xml:space="preserve">critère de coût</w:t>
      </w:r>
      <w:r>
        <w:t xml:space="preserve"> (quelle solution est la moins chère ?), (2) le </w:t>
      </w:r>
      <w:r>
        <w:rPr>
          <w:b/>
          <w:bCs/>
        </w:rPr>
        <w:t xml:space="preserve">critère financier</w:t>
      </w:r>
      <w:r>
        <w:t xml:space="preserve"> (quelle solution est compatible avec la structure du bilan : endettement, trésorerie ?), (3) les </w:t>
      </w:r>
      <w:r>
        <w:rPr>
          <w:b/>
          <w:bCs/>
        </w:rPr>
        <w:t xml:space="preserve">critères qualitatifs</w:t>
      </w:r>
      <w:r>
        <w:t xml:space="preserve"> (propriété, souplesse, risque). La bonne réponse n'est pas « la moins chère dans l'absolu » mais « la mieux adaptée à la situation de l'entreprise ». Ici, les deux convergent — tant mieux, mais il faut le démontrer.</w:t>
      </w:r>
    </w:p>
    <w:p>
      <w:pPr>
        <w:spacing w:after="160" w:before="0" w:line="276"/>
        <w:jc w:val="both"/>
      </w:pPr>
      <w:r>
        <w:t xml:space="preserve">Rappelez-vous aussi qu'un emprunt modifie le bilan : les dettes financières </w:t>
      </w:r>
      <w:r>
        <w:rPr>
          <w:b/>
          <w:bCs/>
        </w:rPr>
        <w:t xml:space="preserve">et</w:t>
      </w:r>
      <w:r>
        <w:t xml:space="preserve"> les ressources stables augmentent du même montant. Le ratio d'endettement après opération se recalcule donc ainsi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t xml:space="preserve">Ratio après emprunt = (Dettes financières + nouvel emprunt) / (Ressources stables + nouvel emprunt)</w:t>
            </w:r>
          </w:p>
          <w:p>
            <w:pPr>
              <w:spacing w:after="40" w:before="0" w:line="264"/>
            </w:pPr>
            <w:r>
              <w:t xml:space="preserve">Ici : (14 320 + 7 200) / (56 820 + 7 200) = 21 520 / 64 020 = </w:t>
            </w:r>
            <w:r>
              <w:rPr>
                <w:b/>
                <w:bCs/>
              </w:rPr>
              <w:t xml:space="preserve">33,6 %</w:t>
            </w:r>
            <w:r>
              <w:t xml:space="preserve">, toujours inférieur au plafond de 50 % fixé par la dirigeante.</w:t>
            </w:r>
          </w:p>
        </w:tc>
      </w:tr>
    </w:tbl>
    <w:p>
      <w:pPr>
        <w:pStyle w:val="Heading3"/>
        <w:spacing w:after="120" w:before="220"/>
      </w:pPr>
      <w:r>
        <w:rPr>
          <w:b/>
          <w:bCs/>
          <w:color w:val="2E5FA3"/>
        </w:rPr>
        <w:t xml:space="preserve">Méthode à appliquer</w:t>
      </w:r>
    </w:p>
    <w:p>
      <w:pPr>
        <w:pStyle w:val="ListParagraph"/>
        <w:numPr>
          <w:ilvl w:val="0"/>
          <w:numId w:val="2"/>
        </w:numPr>
        <w:spacing w:after="80" w:line="264"/>
        <w:jc w:val="both"/>
      </w:pPr>
      <w:r>
        <w:rPr>
          <w:b/>
          <w:bCs/>
        </w:rPr>
        <w:t xml:space="preserve">Étape 1</w:t>
      </w:r>
      <w:r>
        <w:t xml:space="preserve"> – Rappeler le verdict de la question 1.2 : écart de coût chiffré.</w:t>
      </w:r>
    </w:p>
    <w:p>
      <w:pPr>
        <w:pStyle w:val="ListParagraph"/>
        <w:numPr>
          <w:ilvl w:val="0"/>
          <w:numId w:val="2"/>
        </w:numPr>
        <w:spacing w:after="80" w:line="264"/>
        <w:jc w:val="both"/>
      </w:pPr>
      <w:r>
        <w:rPr>
          <w:b/>
          <w:bCs/>
        </w:rPr>
        <w:t xml:space="preserve">Étape 2</w:t>
      </w:r>
      <w:r>
        <w:t xml:space="preserve"> – Vérifier la compatibilité financière : capacité d'endettement (1.1) et, idéalement, ratio d'endettement recalculé après emprunt.</w:t>
      </w:r>
    </w:p>
    <w:p>
      <w:pPr>
        <w:pStyle w:val="ListParagraph"/>
        <w:numPr>
          <w:ilvl w:val="0"/>
          <w:numId w:val="2"/>
        </w:numPr>
        <w:spacing w:after="80" w:line="264"/>
        <w:jc w:val="both"/>
      </w:pPr>
      <w:r>
        <w:rPr>
          <w:b/>
          <w:bCs/>
        </w:rPr>
        <w:t xml:space="preserve">Étape 3</w:t>
      </w:r>
      <w:r>
        <w:t xml:space="preserve"> – Intégrer la contrainte de trésorerie : décaissement initial de chaque solution.</w:t>
      </w:r>
    </w:p>
    <w:p>
      <w:pPr>
        <w:pStyle w:val="ListParagraph"/>
        <w:numPr>
          <w:ilvl w:val="0"/>
          <w:numId w:val="2"/>
        </w:numPr>
        <w:spacing w:after="80" w:line="264"/>
        <w:jc w:val="both"/>
      </w:pPr>
      <w:r>
        <w:rPr>
          <w:b/>
          <w:bCs/>
        </w:rPr>
        <w:t xml:space="preserve">Étape 4</w:t>
      </w:r>
      <w:r>
        <w:t xml:space="preserve"> – Ajouter un argument qualitatif (propriété immédiate, van loué ensuite aux clients → l'actif génère des revenus).</w:t>
      </w:r>
    </w:p>
    <w:p>
      <w:pPr>
        <w:pStyle w:val="ListParagraph"/>
        <w:numPr>
          <w:ilvl w:val="0"/>
          <w:numId w:val="2"/>
        </w:numPr>
        <w:spacing w:after="80" w:line="264"/>
        <w:jc w:val="both"/>
      </w:pPr>
      <w:r>
        <w:rPr>
          <w:b/>
          <w:bCs/>
        </w:rPr>
        <w:t xml:space="preserve">Étape 5</w:t>
      </w:r>
      <w:r>
        <w:t xml:space="preserve"> – Conclure par une recommandation ferme et une réserve de vigilance.</w:t>
      </w:r>
    </w:p>
    <w:p>
      <w:pPr>
        <w:pStyle w:val="Heading3"/>
        <w:spacing w:after="120" w:before="220"/>
      </w:pPr>
      <w:r>
        <w:rPr>
          <w:b/>
          <w:bCs/>
          <w:color w:val="2E5FA3"/>
        </w:rPr>
        <w:t xml:space="preserve">Correction détaillée et réponse rédigée attendue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D32" w:sz="6"/>
              <w:left w:val="single" w:color="2E7D32" w:sz="24"/>
              <w:bottom w:val="single" w:color="2E7D32" w:sz="6"/>
              <w:right w:val="single" w:color="2E7D32" w:sz="6"/>
            </w:tcBorders>
            <w:shd w:fill="F2F6FB" w:val="clear"/>
            <w:tcMar>
              <w:top w:type="dxa" w:w="120"/>
              <w:left w:type="dxa" w:w="200"/>
              <w:bottom w:type="dxa" w:w="120"/>
              <w:right w:type="dxa" w:w="200"/>
            </w:tcMar>
          </w:tcPr>
          <w:p>
            <w:pPr>
              <w:spacing w:after="80" w:before="40" w:line="264"/>
            </w:pPr>
            <w:r>
              <w:t xml:space="preserve">Je recommande à Pascale Prunet de </w:t>
            </w:r>
            <w:r>
              <w:rPr>
                <w:b/>
                <w:bCs/>
              </w:rPr>
              <w:t xml:space="preserve">privilégier l'achat du van financé par l'emprunt</w:t>
            </w:r>
            <w:r>
              <w:t xml:space="preserve">, pour trois raisons :</w:t>
            </w:r>
          </w:p>
          <w:p>
            <w:pPr>
              <w:spacing w:after="80" w:before="0" w:line="264"/>
            </w:pPr>
            <w:r>
              <w:t xml:space="preserve">1. </w:t>
            </w:r>
            <w:r>
              <w:rPr>
                <w:b/>
                <w:bCs/>
              </w:rPr>
              <w:t xml:space="preserve">C'est la solution la moins coûteuse</w:t>
            </w:r>
            <w:r>
              <w:t xml:space="preserve"> : 7 442,28 € contre 8 750 € pour la LOA avec levée d'option, soit une économie de 1 307,72 € (le coût du crédit n'est que de 242,28 € grâce à un taux très bas de 2,16 %).</w:t>
            </w:r>
          </w:p>
          <w:p>
            <w:pPr>
              <w:spacing w:after="80" w:before="0" w:line="264"/>
            </w:pPr>
            <w:r>
              <w:t xml:space="preserve">2. </w:t>
            </w:r>
            <w:r>
              <w:rPr>
                <w:b/>
                <w:bCs/>
              </w:rPr>
              <w:t xml:space="preserve">La situation financière le permet</w:t>
            </w:r>
            <w:r>
              <w:t xml:space="preserve"> : l'endettement actuel ne représente que 25,2 % des ressources stables. Après l'emprunt de 7 200 €, il atteindrait 21 520 / 64 020 = 33,6 %, ce qui reste très en dessous du plafond de 50 % que s'est fixé la dirigeante. Le FRNG positif (11 900 €) témoigne d'une structure équilibrée.</w:t>
            </w:r>
          </w:p>
          <w:p>
            <w:pPr>
              <w:spacing w:after="80" w:before="0" w:line="264"/>
            </w:pPr>
            <w:r>
              <w:t xml:space="preserve">3. </w:t>
            </w:r>
            <w:r>
              <w:rPr>
                <w:b/>
                <w:bCs/>
              </w:rPr>
              <w:t xml:space="preserve">C'est la solution la plus douce pour la trésorerie immédiate</w:t>
            </w:r>
            <w:r>
              <w:t xml:space="preserve"> : l'emprunt finance le van à 100 % (aucun apport), alors que la LOA exige un premier loyer de 1 500 €, insupportable au regard d'une trésorerie nette de seulement 310 €. La mensualité de 206,73 € a en outre vocation à être couverte par les recettes de location du van aux clients.</w:t>
            </w:r>
          </w:p>
          <w:p>
            <w:pPr>
              <w:spacing w:after="40" w:before="0" w:line="264"/>
            </w:pPr>
            <w:r>
              <w:rPr>
                <w:b/>
                <w:bCs/>
              </w:rPr>
              <w:t xml:space="preserve">Point de vigilance</w:t>
            </w:r>
            <w:r>
              <w:t xml:space="preserve"> : la trésorerie étant tendue, il faudra s'assurer que les loyers facturés aux clients couvrent au moins la mensualité et les charges d'entretien du van, et suivre mensuellement la trésorerie.</w:t>
            </w:r>
          </w:p>
        </w:tc>
      </w:tr>
    </w:tbl>
    <w:p>
      <w:pPr>
        <w:pStyle w:val="Heading3"/>
        <w:spacing w:after="120" w:before="220"/>
      </w:pPr>
      <w:r>
        <w:rPr>
          <w:b/>
          <w:bCs/>
          <w:color w:val="2E5FA3"/>
        </w:rPr>
        <w:t xml:space="preserve">Interprétation du résultat</w:t>
      </w:r>
    </w:p>
    <w:p>
      <w:pPr>
        <w:spacing w:after="160" w:before="0" w:line="276"/>
        <w:jc w:val="both"/>
      </w:pPr>
      <w:r>
        <w:t xml:space="preserve">Le résultat est </w:t>
      </w:r>
      <w:r>
        <w:rPr>
          <w:b/>
          <w:bCs/>
        </w:rPr>
        <w:t xml:space="preserve">favorable</w:t>
      </w:r>
      <w:r>
        <w:t xml:space="preserve"> : les critères de coût, de structure financière et de trésorerie convergent tous vers l'emprunt. Pour l'unité commerciale, cela signifie qu'elle peut élargir son offre de services (location de van) sans fragiliser son bilan — l'investissement est même vertueux puisque l'actif financé génèrera directement du chiffre d'affaires. Si la trésorerie avait été négative et l'endettement proche de 50 %, la LOA (voire la location simple sans option) aurait pu se défendre malgré son surcoût : gardez en tête que la « bonne » réponse dépend toujours du diagnostic.</w:t>
      </w:r>
    </w:p>
    <w:p>
      <w:pPr>
        <w:pStyle w:val="Heading3"/>
        <w:spacing w:after="120" w:before="220"/>
      </w:pPr>
      <w:r>
        <w:rPr>
          <w:b/>
          <w:bCs/>
          <w:color w:val="2E5FA3"/>
        </w:rPr>
        <w:t xml:space="preserve">Conseils du correcteur</w:t>
      </w:r>
    </w:p>
    <w:p>
      <w:pPr>
        <w:pStyle w:val="ListParagraph"/>
        <w:numPr>
          <w:ilvl w:val="0"/>
          <w:numId w:val="2"/>
        </w:numPr>
        <w:spacing w:after="80" w:line="264"/>
        <w:jc w:val="both"/>
      </w:pPr>
      <w:r>
        <w:t xml:space="preserve">Le correcteur valorise les copies qui </w:t>
      </w:r>
      <w:r>
        <w:rPr>
          <w:b/>
          <w:bCs/>
        </w:rPr>
        <w:t xml:space="preserve">citent leurs propres résultats des questions 1.1 et 1.2</w:t>
      </w:r>
      <w:r>
        <w:t xml:space="preserve"> : c'est la preuve que vous savez articuler un dossier, pas seulement empiler des calculs.</w:t>
      </w:r>
    </w:p>
    <w:p>
      <w:pPr>
        <w:pStyle w:val="ListParagraph"/>
        <w:numPr>
          <w:ilvl w:val="0"/>
          <w:numId w:val="2"/>
        </w:numPr>
        <w:spacing w:after="80" w:line="264"/>
        <w:jc w:val="both"/>
      </w:pPr>
      <w:r>
        <w:rPr>
          <w:b/>
          <w:bCs/>
        </w:rPr>
        <w:t xml:space="preserve">Prenez position clairement.</w:t>
      </w:r>
      <w:r>
        <w:t xml:space="preserve"> « Les deux solutions ont des avantages » sans recommandation finale est la réponse type de la copie moyenne. Un manager conseille, il ne liste pas.</w:t>
      </w:r>
    </w:p>
    <w:p>
      <w:pPr>
        <w:pStyle w:val="ListParagraph"/>
        <w:numPr>
          <w:ilvl w:val="0"/>
          <w:numId w:val="2"/>
        </w:numPr>
        <w:spacing w:after="80" w:line="264"/>
        <w:jc w:val="both"/>
      </w:pPr>
      <w:r>
        <w:t xml:space="preserve">Le recalcul du ratio d'endettement après emprunt (33,6 %) est le </w:t>
      </w:r>
      <w:r>
        <w:rPr>
          <w:b/>
          <w:bCs/>
        </w:rPr>
        <w:t xml:space="preserve">bonus</w:t>
      </w:r>
      <w:r>
        <w:t xml:space="preserve"> qui distingue les meilleures copies : il répond littéralement à la consigne initiale du dossier.</w:t>
      </w:r>
    </w:p>
    <w:p>
      <w:pPr>
        <w:pStyle w:val="ListParagraph"/>
        <w:numPr>
          <w:ilvl w:val="0"/>
          <w:numId w:val="2"/>
        </w:numPr>
        <w:spacing w:after="80" w:line="264"/>
        <w:jc w:val="both"/>
      </w:pPr>
      <w:r>
        <w:t xml:space="preserve">Terminez par une </w:t>
      </w:r>
      <w:r>
        <w:rPr>
          <w:b/>
          <w:bCs/>
        </w:rPr>
        <w:t xml:space="preserve">réserve professionnelle</w:t>
      </w:r>
      <w:r>
        <w:t xml:space="preserve"> (suivi de trésorerie, rentabilité de la location) : cela montre votre recul de gestionnaire.</w:t>
      </w:r>
    </w:p>
    <w:p>
      <w:pPr>
        <w:pStyle w:val="ListParagraph"/>
        <w:numPr>
          <w:ilvl w:val="0"/>
          <w:numId w:val="2"/>
        </w:numPr>
        <w:spacing w:after="80" w:line="264"/>
        <w:jc w:val="both"/>
      </w:pPr>
      <w:r>
        <w:t xml:space="preserve">Temps conseillé : </w:t>
      </w:r>
      <w:r>
        <w:rPr>
          <w:b/>
          <w:bCs/>
        </w:rPr>
        <w:t xml:space="preserve">15 minutes</w:t>
      </w:r>
      <w:r>
        <w:t xml:space="preserve">, entièrement rédigées.</w:t>
      </w:r>
    </w:p>
    <w:p>
      <w:pPr>
        <w:pBdr>
          <w:left w:val="single" w:color="2E5FA3" w:sz="18" w:space="8"/>
        </w:pBdr>
        <w:spacing w:after="160" w:before="60" w:line="276"/>
        <w:ind w:left="360"/>
      </w:pPr>
      <w:r>
        <w:rPr>
          <w:i/>
          <w:iCs/>
          <w:color w:val="2E5FA3"/>
        </w:rPr>
        <w:t xml:space="preserve">Une recommandation sans chiffres est une opinion ; une recommandation chiffrée est un conseil professionnel. À l'examen, chaque argument doit s'appuyer sur un montant ou un ratio calculé plus haut.</w:t>
      </w:r>
    </w:p>
    <w:p>
      <w:pPr>
        <w:pStyle w:val="Heading3"/>
        <w:spacing w:after="120" w:before="220"/>
      </w:pPr>
      <w:r>
        <w:rPr>
          <w:b/>
          <w:bCs/>
          <w:color w:val="2E5FA3"/>
        </w:rPr>
        <w:t xml:space="preserve">Les erreurs fréquentes à éviter</w:t>
      </w:r>
    </w:p>
    <w:p>
      <w:pPr>
        <w:pStyle w:val="ListParagraph"/>
        <w:numPr>
          <w:ilvl w:val="0"/>
          <w:numId w:val="2"/>
        </w:numPr>
        <w:spacing w:after="80" w:line="264"/>
        <w:jc w:val="both"/>
      </w:pPr>
      <w:r>
        <w:rPr>
          <w:b/>
          <w:bCs/>
        </w:rPr>
        <w:t xml:space="preserve">Recommander la LOA « parce que les loyers sont plus faibles »</w:t>
      </w:r>
      <w:r>
        <w:t xml:space="preserve"> : c'est ignorer le premier loyer de 1 500 € et le coût total supérieur.</w:t>
      </w:r>
    </w:p>
    <w:p>
      <w:pPr>
        <w:pStyle w:val="ListParagraph"/>
        <w:numPr>
          <w:ilvl w:val="0"/>
          <w:numId w:val="2"/>
        </w:numPr>
        <w:spacing w:after="80" w:line="264"/>
        <w:jc w:val="both"/>
      </w:pPr>
      <w:r>
        <w:rPr>
          <w:b/>
          <w:bCs/>
        </w:rPr>
        <w:t xml:space="preserve">Ne pas relier la réponse au diagnostic de la question 1.1</w:t>
      </w:r>
      <w:r>
        <w:t xml:space="preserve"> : la consigne « au regard de la situation financière » l'exige.</w:t>
      </w:r>
    </w:p>
    <w:p>
      <w:pPr>
        <w:pStyle w:val="ListParagraph"/>
        <w:numPr>
          <w:ilvl w:val="0"/>
          <w:numId w:val="2"/>
        </w:numPr>
        <w:spacing w:after="80" w:line="264"/>
        <w:jc w:val="both"/>
      </w:pPr>
      <w:r>
        <w:rPr>
          <w:b/>
          <w:bCs/>
        </w:rPr>
        <w:t xml:space="preserve">Recommandation trop générale</w:t>
      </w:r>
      <w:r>
        <w:t xml:space="preserve"> (« il faut faire attention à la trésorerie ») non reliée aux chiffres du cas.</w:t>
      </w:r>
    </w:p>
    <w:p>
      <w:pPr>
        <w:pStyle w:val="ListParagraph"/>
        <w:numPr>
          <w:ilvl w:val="0"/>
          <w:numId w:val="2"/>
        </w:numPr>
        <w:spacing w:after="80" w:line="264"/>
        <w:jc w:val="both"/>
      </w:pPr>
      <w:r>
        <w:rPr>
          <w:b/>
          <w:bCs/>
        </w:rPr>
        <w:t xml:space="preserve">Oublier de conclure</w:t>
      </w:r>
      <w:r>
        <w:t xml:space="preserve"> ou proposer les deux options « au choix » : la question demande UNE option à privilégier.</w:t>
      </w:r>
    </w:p>
    <w:p>
      <w:pPr>
        <w:pStyle w:val="Heading3"/>
        <w:spacing w:after="120" w:before="220"/>
      </w:pPr>
      <w:r>
        <w:rPr>
          <w:b/>
          <w:bCs/>
          <w:color w:val="2E5FA3"/>
        </w:rPr>
        <w:t xml:space="preserve">Exemple complémentaire</w:t>
      </w:r>
    </w:p>
    <w:p>
      <w:pPr>
        <w:spacing w:after="160" w:before="0" w:line="276"/>
        <w:jc w:val="both"/>
      </w:pPr>
      <w:r>
        <w:rPr>
          <w:i/>
          <w:iCs/>
        </w:rPr>
        <w:t xml:space="preserve">Variante de raisonnement.</w:t>
      </w:r>
      <w:r>
        <w:t xml:space="preserve"> Imaginez la même entreprise avec une trésorerie nette de − 4 000 € et un endettement de 48 %. La recommandation s'inverserait probablement au profit d'une </w:t>
      </w:r>
      <w:r>
        <w:rPr>
          <w:b/>
          <w:bCs/>
        </w:rPr>
        <w:t xml:space="preserve">location simple sans option</w:t>
      </w:r>
      <w:r>
        <w:t xml:space="preserve"> (pas d'endettement supplémentaire, pas de premier loyer majoré négociable), quitte à accepter un coût supérieur : la survie de la trésorerie prime alors sur l'optimisation du coût. Entraînez-vous à défendre les deux positions : c'est le diagnostic qui commande la décision, jamais l'inverse.</w:t>
      </w:r>
    </w:p>
    <w:p>
      <w:pPr>
        <w:pStyle w:val="Heading3"/>
        <w:spacing w:after="120" w:before="220"/>
      </w:pPr>
      <w:r>
        <w:rPr>
          <w:b/>
          <w:bCs/>
          <w:color w:val="2E5FA3"/>
        </w:rPr>
        <w:t xml:space="preserve">À retenir pour l'examen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t xml:space="preserve">Une question « conseillez » = 2 à 3 arguments chiffrés + 1 recommandation ferme + 1 point de vigilance.</w:t>
            </w:r>
          </w:p>
          <w:p>
            <w:pPr>
              <w:spacing w:after="80" w:before="0" w:line="264"/>
            </w:pPr>
            <w:r>
              <w:t xml:space="preserve">Toujours croiser coût total, structure financière (endettement) et trésorerie (décaissements).</w:t>
            </w:r>
          </w:p>
          <w:p>
            <w:pPr>
              <w:spacing w:after="80" w:before="0" w:line="264"/>
            </w:pPr>
            <w:r>
              <w:t xml:space="preserve">Après un emprunt, dettes financières ET ressources stables augmentent : recalculez le ratio.</w:t>
            </w:r>
          </w:p>
          <w:p>
            <w:pPr>
              <w:spacing w:after="40" w:before="0" w:line="264"/>
            </w:pPr>
            <w:r>
              <w:t xml:space="preserve">Reliez explicitement votre conseil aux résultats des questions précédentes.</w:t>
            </w:r>
          </w:p>
        </w:tc>
      </w:tr>
    </w:tbl>
    <w:p>
      <w:pPr>
        <w:pStyle w:val="Heading2"/>
        <w:spacing w:after="180" w:before="280"/>
      </w:pPr>
      <w:r>
        <w:rPr>
          <w:b/>
          <w:bCs/>
          <w:color w:val="1F3864"/>
        </w:rPr>
        <w:t xml:space="preserve">Synthèse du dossier 1</w:t>
      </w:r>
    </w:p>
    <w:p>
      <w:pPr>
        <w:pStyle w:val="Heading3"/>
        <w:spacing w:after="120" w:before="220"/>
      </w:pPr>
      <w:r>
        <w:rPr>
          <w:b/>
          <w:bCs/>
          <w:color w:val="2E5FA3"/>
        </w:rPr>
        <w:t xml:space="preserve">Les notions essentielles à retenir</w:t>
      </w:r>
    </w:p>
    <w:p>
      <w:pPr>
        <w:pStyle w:val="ListParagraph"/>
        <w:numPr>
          <w:ilvl w:val="0"/>
          <w:numId w:val="2"/>
        </w:numPr>
        <w:spacing w:after="80" w:line="264"/>
        <w:jc w:val="both"/>
      </w:pPr>
      <w:r>
        <w:t xml:space="preserve">Le bilan fonctionnel et ses quatre masses ; l'équilibre financier (FRNG, BFR, TN) ; la capacité d'endettement.</w:t>
      </w:r>
    </w:p>
    <w:p>
      <w:pPr>
        <w:pStyle w:val="ListParagraph"/>
        <w:numPr>
          <w:ilvl w:val="0"/>
          <w:numId w:val="2"/>
        </w:numPr>
        <w:spacing w:after="80" w:line="264"/>
        <w:jc w:val="both"/>
      </w:pPr>
      <w:r>
        <w:t xml:space="preserve">Les modes de financement de l'investissement : emprunt (annuités constantes, coût du crédit) et location avec option d'achat.</w:t>
      </w:r>
    </w:p>
    <w:p>
      <w:pPr>
        <w:pStyle w:val="Heading3"/>
        <w:spacing w:after="120" w:before="220"/>
      </w:pPr>
      <w:r>
        <w:rPr>
          <w:b/>
          <w:bCs/>
          <w:color w:val="2E5FA3"/>
        </w:rPr>
        <w:t xml:space="preserve">Les formules à connaître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t xml:space="preserve">FRNG = Ressources stables − Emplois stables</w:t>
            </w:r>
          </w:p>
          <w:p>
            <w:pPr>
              <w:spacing w:after="80" w:before="0" w:line="264"/>
            </w:pPr>
            <w:r>
              <w:t xml:space="preserve">BFR = Actif circulant − Passif circulant (hors trésoreries)</w:t>
            </w:r>
          </w:p>
          <w:p>
            <w:pPr>
              <w:spacing w:after="80" w:before="0" w:line="264"/>
            </w:pPr>
            <w:r>
              <w:t xml:space="preserve">TN = FRNG − BFR = Trésorerie active − Trésorerie passive</w:t>
            </w:r>
          </w:p>
          <w:p>
            <w:pPr>
              <w:spacing w:after="80" w:before="0" w:line="264"/>
            </w:pPr>
            <w:r>
              <w:t xml:space="preserve">Ratio d'endettement = Dettes financières / Ressources stables (seuil : 50 %)</w:t>
            </w:r>
          </w:p>
          <w:p>
            <w:pPr>
              <w:spacing w:after="80" w:before="0" w:line="264"/>
            </w:pPr>
            <w:r>
              <w:t xml:space="preserve">a = V₀ × i / (1 − (1 + i)⁻ⁿ) avec i = taux annuel / 12 pour des mensualités</w:t>
            </w:r>
          </w:p>
          <w:p>
            <w:pPr>
              <w:spacing w:after="40" w:before="0" w:line="264"/>
            </w:pPr>
            <w:r>
              <w:t xml:space="preserve">Coût du crédit = (a × n) − V₀ ; Coût LOA = Σ loyers + option d'achat</w:t>
            </w:r>
          </w:p>
        </w:tc>
      </w:tr>
    </w:tbl>
    <w:p>
      <w:pPr>
        <w:pStyle w:val="Heading3"/>
        <w:spacing w:after="120" w:before="220"/>
      </w:pPr>
      <w:r>
        <w:rPr>
          <w:b/>
          <w:bCs/>
          <w:color w:val="2E5FA3"/>
        </w:rPr>
        <w:t xml:space="preserve">Les réflexes à adopter le jour de l'examen</w:t>
      </w:r>
    </w:p>
    <w:p>
      <w:pPr>
        <w:pStyle w:val="ListParagraph"/>
        <w:numPr>
          <w:ilvl w:val="0"/>
          <w:numId w:val="2"/>
        </w:numPr>
        <w:spacing w:after="80" w:line="264"/>
        <w:jc w:val="both"/>
      </w:pPr>
      <w:r>
        <w:t xml:space="preserve">Vérifier la TN par les deux méthodes ; convertir systématiquement le taux au rythme des versements ; compter le bon nombre de loyers ; conclure chaque question par une phrase orientée décision.</w:t>
      </w:r>
    </w:p>
    <w:p>
      <w:pPr>
        <w:pStyle w:val="Heading3"/>
        <w:spacing w:after="120" w:before="220"/>
      </w:pPr>
      <w:r>
        <w:rPr>
          <w:b/>
          <w:bCs/>
          <w:color w:val="2E5FA3"/>
        </w:rPr>
        <w:t xml:space="preserve">Questions d'entraînement</w:t>
      </w:r>
    </w:p>
    <w:p>
      <w:pPr>
        <w:pStyle w:val="ListParagraph"/>
        <w:numPr>
          <w:ilvl w:val="0"/>
          <w:numId w:val="2"/>
        </w:numPr>
        <w:spacing w:after="80" w:line="264"/>
        <w:jc w:val="both"/>
      </w:pPr>
      <w:r>
        <w:t xml:space="preserve">Recalculez le FRNG d'Equi'Dam si la dirigeante apportait 5 000 € en compte courant d'associé (ressource stable). Quel serait l'effet sur la TN ?</w:t>
      </w:r>
    </w:p>
    <w:p>
      <w:pPr>
        <w:pStyle w:val="ListParagraph"/>
        <w:numPr>
          <w:ilvl w:val="0"/>
          <w:numId w:val="2"/>
        </w:numPr>
        <w:spacing w:after="80" w:line="264"/>
        <w:jc w:val="both"/>
      </w:pPr>
      <w:r>
        <w:t xml:space="preserve">Quelle serait la mensualité pour le même van emprunté sur 4 ans (48 mois) au même taux ? Le coût du crédit augmente-t-il ou diminue-t-il ? Pourquoi ?</w:t>
      </w:r>
    </w:p>
    <w:p>
      <w:pPr>
        <w:pStyle w:val="ListParagraph"/>
        <w:numPr>
          <w:ilvl w:val="0"/>
          <w:numId w:val="2"/>
        </w:numPr>
        <w:spacing w:after="80" w:line="264"/>
        <w:jc w:val="both"/>
      </w:pPr>
      <w:r>
        <w:t xml:space="preserve">Citez deux avantages non financiers de la LOA qu'un loueur mettrait en avant face à Pascale Prunet.</w:t>
      </w:r>
    </w:p>
    <w:p>
      <w:pPr>
        <w:pStyle w:val="Heading1"/>
        <w:spacing w:after="240" w:before="240"/>
      </w:pPr>
      <w:r>
        <w:br w:type="page"/>
      </w:r>
      <w:r>
        <w:rPr>
          <w:b/>
          <w:bCs/>
          <w:color w:val="1F3864"/>
        </w:rPr>
        <w:t xml:space="preserve">DOSSIER 2 – Analyse des performances commerciales de l'univers « cheval »</w:t>
      </w:r>
    </w:p>
    <w:p>
      <w:pPr>
        <w:spacing w:after="160" w:before="0" w:line="276"/>
        <w:jc w:val="both"/>
      </w:pPr>
      <w:r>
        <w:rPr>
          <w:b/>
          <w:bCs/>
        </w:rPr>
        <w:t xml:space="preserve">Contexte du dossier.</w:t>
      </w:r>
      <w:r>
        <w:t xml:space="preserve"> Pascale Prunet pilote jusqu'ici son activité « à l'instinct », en notant les informations dans un cahier de suivi (annexe 3). Elle vous délègue la formalisation du pilotage de l'univers « cheval », composé de quatre familles de produits : tapis de selle, couvertures, soins et accessoires. Trois travaux : concevoir un tableau de bord 2024 (2.1), rendre compte des performances (2.2), puis apprécier l'avancement des objectifs 2025 au 31 mars, en tenant compte de la </w:t>
      </w:r>
      <w:r>
        <w:rPr>
          <w:b/>
          <w:bCs/>
        </w:rPr>
        <w:t xml:space="preserve">saisonnalité</w:t>
      </w:r>
      <w:r>
        <w:t xml:space="preserve"> de l'activité (2.3). </w:t>
      </w:r>
      <w:r>
        <w:rPr>
          <w:b/>
          <w:bCs/>
        </w:rPr>
        <w:t xml:space="preserve">Annexes mobilisées : 3 à 5.</w:t>
      </w:r>
    </w:p>
    <w:p>
      <w:pPr>
        <w:pStyle w:val="Heading2"/>
        <w:spacing w:after="180" w:before="280"/>
      </w:pPr>
      <w:r>
        <w:rPr>
          <w:b/>
          <w:bCs/>
          <w:color w:val="1F3864"/>
        </w:rPr>
        <w:t xml:space="preserve">Question 2.1 – Concevez un tableau de bord de l'univers « cheval » pour l'année 2024</w:t>
      </w:r>
    </w:p>
    <w:p>
      <w:pPr>
        <w:pStyle w:val="Heading3"/>
        <w:spacing w:after="120" w:before="220"/>
      </w:pPr>
      <w:r>
        <w:rPr>
          <w:b/>
          <w:bCs/>
          <w:color w:val="2E5FA3"/>
        </w:rPr>
        <w:t xml:space="preserve">Ce que la question vous demande</w:t>
      </w:r>
    </w:p>
    <w:p>
      <w:pPr>
        <w:spacing w:after="160" w:before="0" w:line="276"/>
        <w:jc w:val="both"/>
      </w:pPr>
      <w:r>
        <w:t xml:space="preserve">On vous demande de </w:t>
      </w:r>
      <w:r>
        <w:rPr>
          <w:b/>
          <w:bCs/>
        </w:rPr>
        <w:t xml:space="preserve">construire un outil de pilotage</w:t>
      </w:r>
      <w:r>
        <w:t xml:space="preserve"> : un tableau croisant les quatre familles de produits (en lignes) et des </w:t>
      </w:r>
      <w:r>
        <w:rPr>
          <w:b/>
          <w:bCs/>
        </w:rPr>
        <w:t xml:space="preserve">indicateurs de performance pertinents</w:t>
      </w:r>
      <w:r>
        <w:t xml:space="preserve"> (en colonnes), calculés à partir des données brutes du cahier de suivi (annexe 3 : CA HT 2023 et 2024, marges 2024). La question est volontairement ouverte (« les indicateurs que vous jugerez pertinents ») : c'est </w:t>
      </w:r>
      <w:r>
        <w:rPr>
          <w:b/>
          <w:bCs/>
        </w:rPr>
        <w:t xml:space="preserve">votre choix d'indicateurs qui est évalué</w:t>
      </w:r>
      <w:r>
        <w:t xml:space="preserve">, autant que vos calculs.</w:t>
      </w:r>
    </w:p>
    <w:p>
      <w:pPr>
        <w:spacing w:after="160" w:before="0" w:line="276"/>
        <w:jc w:val="both"/>
      </w:pPr>
      <w:r>
        <w:t xml:space="preserve">Les indicateurs attendus, compte tenu des données disponibles :</w:t>
      </w:r>
    </w:p>
    <w:p>
      <w:pPr>
        <w:pStyle w:val="ListParagraph"/>
        <w:numPr>
          <w:ilvl w:val="0"/>
          <w:numId w:val="2"/>
        </w:numPr>
        <w:spacing w:after="80" w:line="264"/>
        <w:jc w:val="both"/>
      </w:pPr>
      <w:r>
        <w:t xml:space="preserve">le </w:t>
      </w:r>
      <w:r>
        <w:rPr>
          <w:b/>
          <w:bCs/>
        </w:rPr>
        <w:t xml:space="preserve">CA HT 2023 et 2024</w:t>
      </w:r>
      <w:r>
        <w:t xml:space="preserve"> (données brutes, à reprendre) ;</w:t>
      </w:r>
    </w:p>
    <w:p>
      <w:pPr>
        <w:pStyle w:val="ListParagraph"/>
        <w:numPr>
          <w:ilvl w:val="0"/>
          <w:numId w:val="2"/>
        </w:numPr>
        <w:spacing w:after="80" w:line="264"/>
        <w:jc w:val="both"/>
      </w:pPr>
      <w:r>
        <w:t xml:space="preserve">le </w:t>
      </w:r>
      <w:r>
        <w:rPr>
          <w:b/>
          <w:bCs/>
        </w:rPr>
        <w:t xml:space="preserve">taux d'évolution du CA</w:t>
      </w:r>
      <w:r>
        <w:t xml:space="preserve"> 2024/2023, par famille et au total ;</w:t>
      </w:r>
    </w:p>
    <w:p>
      <w:pPr>
        <w:pStyle w:val="ListParagraph"/>
        <w:numPr>
          <w:ilvl w:val="0"/>
          <w:numId w:val="2"/>
        </w:numPr>
        <w:spacing w:after="80" w:line="264"/>
        <w:jc w:val="both"/>
      </w:pPr>
      <w:r>
        <w:t xml:space="preserve">la </w:t>
      </w:r>
      <w:r>
        <w:rPr>
          <w:b/>
          <w:bCs/>
        </w:rPr>
        <w:t xml:space="preserve">part de chaque famille dans le CA 2024</w:t>
      </w:r>
      <w:r>
        <w:t xml:space="preserve"> (structure des ventes) ;</w:t>
      </w:r>
    </w:p>
    <w:p>
      <w:pPr>
        <w:pStyle w:val="ListParagraph"/>
        <w:numPr>
          <w:ilvl w:val="0"/>
          <w:numId w:val="2"/>
        </w:numPr>
        <w:spacing w:after="80" w:line="264"/>
        <w:jc w:val="both"/>
      </w:pPr>
      <w:r>
        <w:t xml:space="preserve">la </w:t>
      </w:r>
      <w:r>
        <w:rPr>
          <w:b/>
          <w:bCs/>
        </w:rPr>
        <w:t xml:space="preserve">marge 2024</w:t>
      </w:r>
      <w:r>
        <w:t xml:space="preserve"> (donnée) et le </w:t>
      </w:r>
      <w:r>
        <w:rPr>
          <w:b/>
          <w:bCs/>
        </w:rPr>
        <w:t xml:space="preserve">taux de marge sur le CA</w:t>
      </w:r>
      <w:r>
        <w:t xml:space="preserve"> (marge / CA HT), par famille.</w:t>
      </w:r>
    </w:p>
    <w:p>
      <w:pPr>
        <w:spacing w:after="160" w:before="0" w:line="276"/>
        <w:jc w:val="both"/>
      </w:pPr>
      <w:r>
        <w:t xml:space="preserve">Piège de compréhension : ne calculez que ce que les données permettent. Vous n'avez ni les quantités vendues, ni le panier moyen, ni la fréquentation : inutile d'inventer des indicateurs incalculables. La pertinence, c'est aussi savoir se limiter.</w:t>
      </w:r>
    </w:p>
    <w:p>
      <w:pPr>
        <w:pStyle w:val="Heading3"/>
        <w:spacing w:after="120" w:before="220"/>
      </w:pPr>
      <w:r>
        <w:rPr>
          <w:b/>
          <w:bCs/>
          <w:color w:val="2E5FA3"/>
        </w:rPr>
        <w:t xml:space="preserve">Compétence et notion du référentiel mobilisées</w:t>
      </w:r>
    </w:p>
    <w:p>
      <w:pPr>
        <w:pStyle w:val="ListParagraph"/>
        <w:numPr>
          <w:ilvl w:val="0"/>
          <w:numId w:val="2"/>
        </w:numPr>
        <w:spacing w:after="80" w:line="264"/>
        <w:jc w:val="both"/>
      </w:pPr>
      <w:r>
        <w:rPr>
          <w:b/>
          <w:bCs/>
        </w:rPr>
        <w:t xml:space="preserve">Bloc 3 – « Analyser les performances »</w:t>
      </w:r>
      <w:r>
        <w:t xml:space="preserve">, compétence « concevoir et analyser un tableau de bord ». Le critère d'évaluation du référentiel : « les tableaux de bord sont opérationnels » et « les données quantitatives sont judicieusement mobilisées ».</w:t>
      </w:r>
    </w:p>
    <w:p>
      <w:pPr>
        <w:pStyle w:val="ListParagraph"/>
        <w:numPr>
          <w:ilvl w:val="0"/>
          <w:numId w:val="2"/>
        </w:numPr>
        <w:spacing w:after="80" w:line="264"/>
        <w:jc w:val="both"/>
      </w:pPr>
      <w:r>
        <w:rPr>
          <w:b/>
          <w:bCs/>
        </w:rPr>
        <w:t xml:space="preserve">Savoirs associés</w:t>
      </w:r>
      <w:r>
        <w:t xml:space="preserve"> : « les indicateurs de performance » (les principaux indicateurs du tableau de bord) et « les coûts et les marges » (les marges et leur calcul).</w:t>
      </w:r>
    </w:p>
    <w:p>
      <w:pPr>
        <w:pStyle w:val="ListParagraph"/>
        <w:numPr>
          <w:ilvl w:val="0"/>
          <w:numId w:val="2"/>
        </w:numPr>
        <w:spacing w:after="80" w:line="264"/>
        <w:jc w:val="both"/>
      </w:pPr>
      <w:r>
        <w:rPr>
          <w:b/>
          <w:bCs/>
        </w:rPr>
        <w:t xml:space="preserve">Objectif professionnel</w:t>
      </w:r>
      <w:r>
        <w:t xml:space="preserve"> : transformer un suivi artisanal (cahier manuscrit) en instrument de pilotage — mission emblématique du titulaire du BTS MCO, chargé de la « mise en œuvre du reporting ».</w:t>
      </w:r>
    </w:p>
    <w:p>
      <w:pPr>
        <w:pStyle w:val="Heading3"/>
        <w:spacing w:after="120" w:before="220"/>
      </w:pPr>
      <w:r>
        <w:rPr>
          <w:b/>
          <w:bCs/>
          <w:color w:val="2E5FA3"/>
        </w:rPr>
        <w:t xml:space="preserve">Rappel de cours</w:t>
      </w:r>
    </w:p>
    <w:p>
      <w:pPr>
        <w:spacing w:after="160" w:before="0" w:line="276"/>
        <w:jc w:val="both"/>
      </w:pPr>
      <w:r>
        <w:rPr>
          <w:b/>
          <w:bCs/>
        </w:rPr>
        <w:t xml:space="preserve">Le tableau de bord</w:t>
      </w:r>
      <w:r>
        <w:t xml:space="preserve"> est un document synthétique regroupant les indicateurs clés de performance (souvent appelés KPI) d'une activité, comparés à des références (période précédente, objectif). Ses trois qualités : </w:t>
      </w:r>
      <w:r>
        <w:rPr>
          <w:b/>
          <w:bCs/>
        </w:rPr>
        <w:t xml:space="preserve">synthétique</w:t>
      </w:r>
      <w:r>
        <w:t xml:space="preserve"> (une page), </w:t>
      </w:r>
      <w:r>
        <w:rPr>
          <w:b/>
          <w:bCs/>
        </w:rPr>
        <w:t xml:space="preserve">pertinent</w:t>
      </w:r>
      <w:r>
        <w:t xml:space="preserve"> (des indicateurs qui répondent aux questions du décideur), </w:t>
      </w:r>
      <w:r>
        <w:rPr>
          <w:b/>
          <w:bCs/>
        </w:rPr>
        <w:t xml:space="preserve">parlant</w:t>
      </w:r>
      <w:r>
        <w:t xml:space="preserve"> (écarts et évolutions mis en évidence). Il sert à constater, alerter et déclencher des actions correctrices.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rPr>
                <w:b/>
                <w:bCs/>
              </w:rPr>
              <w:t xml:space="preserve">Taux d'évolution = (Valeur d'arrivée − Valeur de départ) / Valeur de départ × 100</w:t>
            </w:r>
          </w:p>
          <w:p>
            <w:pPr>
              <w:spacing w:after="40" w:before="0" w:line="264"/>
            </w:pPr>
            <w:r>
              <w:t xml:space="preserve">Il mesure la dynamique d'une grandeur entre deux périodes. Erreur classique : diviser par la valeur d'arrivée. Moyen mnémotechnique : on divise toujours par « l'ancien monde ».</w:t>
            </w:r>
          </w:p>
        </w:tc>
      </w:tr>
    </w:tbl>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rPr>
                <w:b/>
                <w:bCs/>
              </w:rPr>
              <w:t xml:space="preserve">Part (poids) d'une famille = CA de la famille / CA total × 100</w:t>
            </w:r>
          </w:p>
          <w:p>
            <w:pPr>
              <w:spacing w:after="40" w:before="0" w:line="264"/>
            </w:pPr>
            <w:r>
              <w:t xml:space="preserve">Elle révèle la structure de l'activité : sur quelles familles repose le chiffre d'affaires ? La somme des parts doit faire 100 % — vérification immédiate.</w:t>
            </w:r>
          </w:p>
        </w:tc>
      </w:tr>
    </w:tbl>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rPr>
                <w:b/>
                <w:bCs/>
              </w:rPr>
              <w:t xml:space="preserve">Taux de marge sur CA = Marge / CA HT × 100</w:t>
            </w:r>
          </w:p>
          <w:p>
            <w:pPr>
              <w:spacing w:after="40" w:before="0" w:line="264"/>
            </w:pPr>
            <w:r>
              <w:t xml:space="preserve">Il mesure la rentabilité commerciale de chaque euro vendu. Précision de vocabulaire : rapportée au prix de vente, cette grandeur est stricto sensu un </w:t>
            </w:r>
            <w:r>
              <w:rPr>
                <w:b/>
                <w:bCs/>
              </w:rPr>
              <w:t xml:space="preserve">taux de marque</w:t>
            </w:r>
            <w:r>
              <w:t xml:space="preserve"> ; rapportée au coût d'achat, c'est le </w:t>
            </w:r>
            <w:r>
              <w:rPr>
                <w:b/>
                <w:bCs/>
              </w:rPr>
              <w:t xml:space="preserve">taux de marge</w:t>
            </w:r>
            <w:r>
              <w:t xml:space="preserve">. À partir des données de l'annexe 3 (CA et marge), on calcule marge/CA : nommez-le « taux de marge sur le CA » ou « taux de marque » et, surtout, indiquez votre formule — le correcteur valide la cohérence formule/calcul.</w:t>
            </w:r>
          </w:p>
        </w:tc>
      </w:tr>
    </w:tbl>
    <w:p>
      <w:pPr>
        <w:spacing w:after="100"/>
      </w:pPr>
    </w:p>
    <w:p>
      <w:pPr>
        <w:spacing w:after="160" w:before="0" w:line="276"/>
        <w:jc w:val="both"/>
      </w:pPr>
      <w:r>
        <w:rPr>
          <w:b/>
          <w:bCs/>
        </w:rPr>
        <w:t xml:space="preserve">Distinction à maîtriser absolument</w:t>
      </w:r>
      <w:r>
        <w:t xml:space="preserve"> : la </w:t>
      </w:r>
      <w:r>
        <w:rPr>
          <w:b/>
          <w:bCs/>
        </w:rPr>
        <w:t xml:space="preserve">marge en valeur</w:t>
      </w:r>
      <w:r>
        <w:t xml:space="preserve"> (en €) mesure la contribution absolue d'une famille au profit ; le </w:t>
      </w:r>
      <w:r>
        <w:rPr>
          <w:b/>
          <w:bCs/>
        </w:rPr>
        <w:t xml:space="preserve">taux</w:t>
      </w:r>
      <w:r>
        <w:t xml:space="preserve"> (en %) mesure sa rentabilité relative. Une famille peut dégager une grosse marge en valeur avec un taux médiocre (gros volume peu margé) et inversement. C'est exactement ce que ce tableau va révéler.</w:t>
      </w:r>
    </w:p>
    <w:p>
      <w:pPr>
        <w:pStyle w:val="Heading3"/>
        <w:spacing w:after="120" w:before="220"/>
      </w:pPr>
      <w:r>
        <w:rPr>
          <w:b/>
          <w:bCs/>
          <w:color w:val="2E5FA3"/>
        </w:rPr>
        <w:t xml:space="preserve">Méthode à appliquer</w:t>
      </w:r>
    </w:p>
    <w:p>
      <w:pPr>
        <w:pStyle w:val="ListParagraph"/>
        <w:numPr>
          <w:ilvl w:val="0"/>
          <w:numId w:val="2"/>
        </w:numPr>
        <w:spacing w:after="80" w:line="264"/>
        <w:jc w:val="both"/>
      </w:pPr>
      <w:r>
        <w:rPr>
          <w:b/>
          <w:bCs/>
        </w:rPr>
        <w:t xml:space="preserve">Étape 1</w:t>
      </w:r>
      <w:r>
        <w:t xml:space="preserve"> – Poser la structure : familles en lignes (+ ligne TOTAL), indicateurs en colonnes, avec les formules en tête de colonne.</w:t>
      </w:r>
    </w:p>
    <w:p>
      <w:pPr>
        <w:pStyle w:val="ListParagraph"/>
        <w:numPr>
          <w:ilvl w:val="0"/>
          <w:numId w:val="2"/>
        </w:numPr>
        <w:spacing w:after="80" w:line="264"/>
        <w:jc w:val="both"/>
      </w:pPr>
      <w:r>
        <w:rPr>
          <w:b/>
          <w:bCs/>
        </w:rPr>
        <w:t xml:space="preserve">Étape 2</w:t>
      </w:r>
      <w:r>
        <w:t xml:space="preserve"> – Reporter les données brutes (CA 2023, CA 2024, marge 2024) sans erreur de recopie — vérifiez que vos colonnes totalisent bien 91 443, 105 184 et 45 342 €.</w:t>
      </w:r>
    </w:p>
    <w:p>
      <w:pPr>
        <w:pStyle w:val="ListParagraph"/>
        <w:numPr>
          <w:ilvl w:val="0"/>
          <w:numId w:val="2"/>
        </w:numPr>
        <w:spacing w:after="80" w:line="264"/>
        <w:jc w:val="both"/>
      </w:pPr>
      <w:r>
        <w:rPr>
          <w:b/>
          <w:bCs/>
        </w:rPr>
        <w:t xml:space="preserve">Étape 3</w:t>
      </w:r>
      <w:r>
        <w:t xml:space="preserve"> – Calculer les taux d'évolution ligne par ligne.</w:t>
      </w:r>
    </w:p>
    <w:p>
      <w:pPr>
        <w:pStyle w:val="ListParagraph"/>
        <w:numPr>
          <w:ilvl w:val="0"/>
          <w:numId w:val="2"/>
        </w:numPr>
        <w:spacing w:after="80" w:line="264"/>
        <w:jc w:val="both"/>
      </w:pPr>
      <w:r>
        <w:rPr>
          <w:b/>
          <w:bCs/>
        </w:rPr>
        <w:t xml:space="preserve">Étape 4</w:t>
      </w:r>
      <w:r>
        <w:t xml:space="preserve"> – Calculer les parts dans le CA 2024 (contrôle : somme = 100 %).</w:t>
      </w:r>
    </w:p>
    <w:p>
      <w:pPr>
        <w:pStyle w:val="ListParagraph"/>
        <w:numPr>
          <w:ilvl w:val="0"/>
          <w:numId w:val="2"/>
        </w:numPr>
        <w:spacing w:after="80" w:line="264"/>
        <w:jc w:val="both"/>
      </w:pPr>
      <w:r>
        <w:rPr>
          <w:b/>
          <w:bCs/>
        </w:rPr>
        <w:t xml:space="preserve">Étape 5</w:t>
      </w:r>
      <w:r>
        <w:t xml:space="preserve"> – Calculer les taux de marge sur CA.</w:t>
      </w:r>
    </w:p>
    <w:p>
      <w:pPr>
        <w:pStyle w:val="ListParagraph"/>
        <w:numPr>
          <w:ilvl w:val="0"/>
          <w:numId w:val="2"/>
        </w:numPr>
        <w:spacing w:after="80" w:line="264"/>
        <w:jc w:val="both"/>
      </w:pPr>
      <w:r>
        <w:rPr>
          <w:b/>
          <w:bCs/>
        </w:rPr>
        <w:t xml:space="preserve">Étape 6</w:t>
      </w:r>
      <w:r>
        <w:t xml:space="preserve"> – Vérifier la cohérence globale : l'évolution du total (+15,03 %) doit être « au milieu » des évolutions des familles ; le taux de marge total (43,1 %) aussi.</w:t>
      </w:r>
    </w:p>
    <w:p>
      <w:pPr>
        <w:pBdr>
          <w:left w:val="single" w:color="2E5FA3" w:sz="18" w:space="8"/>
        </w:pBdr>
        <w:spacing w:after="160" w:before="60" w:line="276"/>
        <w:ind w:left="360"/>
      </w:pPr>
      <w:r>
        <w:rPr>
          <w:i/>
          <w:iCs/>
          <w:color w:val="2E5FA3"/>
        </w:rPr>
        <w:t xml:space="preserve">Un tableau de bord se lit sans le sujet sous les yeux : titre, unités, formules en en-tête, ligne de total. Si votre correcteur doit deviner ce que contient une colonne, vous perdez des points de forme — et en BTS MCO, la forme d'un tableau de bord, c'est du fond.</w:t>
      </w:r>
    </w:p>
    <w:p>
      <w:pPr>
        <w:pStyle w:val="Heading3"/>
        <w:spacing w:after="120" w:before="220"/>
      </w:pPr>
      <w:r>
        <w:rPr>
          <w:b/>
          <w:bCs/>
          <w:color w:val="2E5FA3"/>
        </w:rPr>
        <w:t xml:space="preserve">Correction détaillée</w:t>
      </w:r>
    </w:p>
    <w:p>
      <w:pPr>
        <w:spacing w:after="160" w:before="0" w:line="276"/>
        <w:jc w:val="both"/>
      </w:pPr>
      <w:r>
        <w:rPr>
          <w:b/>
          <w:bCs/>
        </w:rPr>
        <w:t xml:space="preserve">Tableau de bord de l'univers « cheval » – Sellerie Equi'Dam – Année 2024</w:t>
      </w:r>
      <w:r>
        <w:t xml:space="preserve"> (montants en € HT)</w:t>
      </w:r>
    </w:p>
    <w:tbl>
      <w:tblPr>
        <w:tblW w:type="dxa" w:w="10360"/>
        <w:tblBorders>
          <w:top w:val="single" w:color="auto" w:sz="4"/>
          <w:left w:val="single" w:color="auto" w:sz="4"/>
          <w:bottom w:val="single" w:color="auto" w:sz="4"/>
          <w:right w:val="single" w:color="auto" w:sz="4"/>
          <w:insideH w:val="single" w:color="auto" w:sz="4"/>
          <w:insideV w:val="single" w:color="auto" w:sz="4"/>
        </w:tblBorders>
      </w:tblPr>
      <w:tblGrid>
        <w:gridCol w:w="1800"/>
        <w:gridCol w:w="1250"/>
        <w:gridCol w:w="1250"/>
        <w:gridCol w:w="1500"/>
        <w:gridCol w:w="1500"/>
        <w:gridCol w:w="1250"/>
        <w:gridCol w:w="1810"/>
      </w:tblGrid>
      <w:tr>
        <w:trPr>
          <w:tblHeader/>
        </w:trPr>
        <w:tc>
          <w:tcPr>
            <w:tcW w:type="dxa" w:w="18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left"/>
            </w:pPr>
            <w:r>
              <w:rPr>
                <w:b/>
                <w:bCs/>
                <w:color w:val="FFFFFF"/>
                <w:sz w:val="20"/>
                <w:szCs w:val="20"/>
              </w:rPr>
              <w:t xml:space="preserve">Famille</w:t>
            </w:r>
          </w:p>
        </w:tc>
        <w:tc>
          <w:tcPr>
            <w:tcW w:type="dxa" w:w="125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CA 2023</w:t>
            </w:r>
          </w:p>
        </w:tc>
        <w:tc>
          <w:tcPr>
            <w:tcW w:type="dxa" w:w="125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CA 2024</w:t>
            </w:r>
          </w:p>
        </w:tc>
        <w:tc>
          <w:tcPr>
            <w:tcW w:type="dxa" w:w="15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Évolution CA (%)</w:t>
            </w:r>
          </w:p>
        </w:tc>
        <w:tc>
          <w:tcPr>
            <w:tcW w:type="dxa" w:w="15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Part CA 2024 (%)</w:t>
            </w:r>
          </w:p>
        </w:tc>
        <w:tc>
          <w:tcPr>
            <w:tcW w:type="dxa" w:w="125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Marge 2024</w:t>
            </w:r>
          </w:p>
        </w:tc>
        <w:tc>
          <w:tcPr>
            <w:tcW w:type="dxa" w:w="181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Taux de marge / CA (%)</w:t>
            </w:r>
          </w:p>
        </w:tc>
      </w:tr>
      <w:tr>
        <w:tc>
          <w:tcPr>
            <w:tcW w:type="dxa" w:w="18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b w:val="false"/>
                <w:bCs w:val="false"/>
                <w:color w:val="000000"/>
                <w:sz w:val="20"/>
                <w:szCs w:val="20"/>
              </w:rPr>
              <w:t xml:space="preserve">Tapis de selle</w:t>
            </w:r>
          </w:p>
        </w:tc>
        <w:tc>
          <w:tcPr>
            <w:tcW w:type="dxa" w:w="125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28 652</w:t>
            </w:r>
          </w:p>
        </w:tc>
        <w:tc>
          <w:tcPr>
            <w:tcW w:type="dxa" w:w="125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34 502</w:t>
            </w:r>
          </w:p>
        </w:tc>
        <w:tc>
          <w:tcPr>
            <w:tcW w:type="dxa" w:w="15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+ 20,42</w:t>
            </w:r>
          </w:p>
        </w:tc>
        <w:tc>
          <w:tcPr>
            <w:tcW w:type="dxa" w:w="15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32,80</w:t>
            </w:r>
          </w:p>
        </w:tc>
        <w:tc>
          <w:tcPr>
            <w:tcW w:type="dxa" w:w="125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14 628</w:t>
            </w:r>
          </w:p>
        </w:tc>
        <w:tc>
          <w:tcPr>
            <w:tcW w:type="dxa" w:w="181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42,40</w:t>
            </w:r>
          </w:p>
        </w:tc>
      </w:tr>
      <w:tr>
        <w:tc>
          <w:tcPr>
            <w:tcW w:type="dxa" w:w="18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b w:val="false"/>
                <w:bCs w:val="false"/>
                <w:color w:val="000000"/>
                <w:sz w:val="20"/>
                <w:szCs w:val="20"/>
              </w:rPr>
              <w:t xml:space="preserve">Couvertures</w:t>
            </w:r>
          </w:p>
        </w:tc>
        <w:tc>
          <w:tcPr>
            <w:tcW w:type="dxa" w:w="125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32 369</w:t>
            </w:r>
          </w:p>
        </w:tc>
        <w:tc>
          <w:tcPr>
            <w:tcW w:type="dxa" w:w="125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37 126</w:t>
            </w:r>
          </w:p>
        </w:tc>
        <w:tc>
          <w:tcPr>
            <w:tcW w:type="dxa" w:w="15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+ 14,70</w:t>
            </w:r>
          </w:p>
        </w:tc>
        <w:tc>
          <w:tcPr>
            <w:tcW w:type="dxa" w:w="15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35,30</w:t>
            </w:r>
          </w:p>
        </w:tc>
        <w:tc>
          <w:tcPr>
            <w:tcW w:type="dxa" w:w="125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20 438</w:t>
            </w:r>
          </w:p>
        </w:tc>
        <w:tc>
          <w:tcPr>
            <w:tcW w:type="dxa" w:w="181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55,05</w:t>
            </w:r>
          </w:p>
        </w:tc>
      </w:tr>
      <w:tr>
        <w:tc>
          <w:tcPr>
            <w:tcW w:type="dxa" w:w="18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b w:val="false"/>
                <w:bCs w:val="false"/>
                <w:color w:val="000000"/>
                <w:sz w:val="20"/>
                <w:szCs w:val="20"/>
              </w:rPr>
              <w:t xml:space="preserve">Soins</w:t>
            </w:r>
          </w:p>
        </w:tc>
        <w:tc>
          <w:tcPr>
            <w:tcW w:type="dxa" w:w="125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23 747</w:t>
            </w:r>
          </w:p>
        </w:tc>
        <w:tc>
          <w:tcPr>
            <w:tcW w:type="dxa" w:w="125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25 196</w:t>
            </w:r>
          </w:p>
        </w:tc>
        <w:tc>
          <w:tcPr>
            <w:tcW w:type="dxa" w:w="15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+ 6,10</w:t>
            </w:r>
          </w:p>
        </w:tc>
        <w:tc>
          <w:tcPr>
            <w:tcW w:type="dxa" w:w="15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23,95</w:t>
            </w:r>
          </w:p>
        </w:tc>
        <w:tc>
          <w:tcPr>
            <w:tcW w:type="dxa" w:w="125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6 838</w:t>
            </w:r>
          </w:p>
        </w:tc>
        <w:tc>
          <w:tcPr>
            <w:tcW w:type="dxa" w:w="181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27,14</w:t>
            </w:r>
          </w:p>
        </w:tc>
      </w:tr>
      <w:tr>
        <w:tc>
          <w:tcPr>
            <w:tcW w:type="dxa" w:w="18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b w:val="false"/>
                <w:bCs w:val="false"/>
                <w:color w:val="000000"/>
                <w:sz w:val="20"/>
                <w:szCs w:val="20"/>
              </w:rPr>
              <w:t xml:space="preserve">Accessoires</w:t>
            </w:r>
          </w:p>
        </w:tc>
        <w:tc>
          <w:tcPr>
            <w:tcW w:type="dxa" w:w="125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6 675</w:t>
            </w:r>
          </w:p>
        </w:tc>
        <w:tc>
          <w:tcPr>
            <w:tcW w:type="dxa" w:w="125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8 360</w:t>
            </w:r>
          </w:p>
        </w:tc>
        <w:tc>
          <w:tcPr>
            <w:tcW w:type="dxa" w:w="15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+ 25,24</w:t>
            </w:r>
          </w:p>
        </w:tc>
        <w:tc>
          <w:tcPr>
            <w:tcW w:type="dxa" w:w="15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7,95</w:t>
            </w:r>
          </w:p>
        </w:tc>
        <w:tc>
          <w:tcPr>
            <w:tcW w:type="dxa" w:w="125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3 438</w:t>
            </w:r>
          </w:p>
        </w:tc>
        <w:tc>
          <w:tcPr>
            <w:tcW w:type="dxa" w:w="181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41,12</w:t>
            </w:r>
          </w:p>
        </w:tc>
      </w:tr>
      <w:tr>
        <w:tc>
          <w:tcPr>
            <w:tcW w:type="dxa" w:w="180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left"/>
            </w:pPr>
            <w:r>
              <w:rPr>
                <w:b/>
                <w:bCs/>
                <w:color w:val="000000"/>
                <w:sz w:val="20"/>
                <w:szCs w:val="20"/>
              </w:rPr>
              <w:t xml:space="preserve">TOTAL</w:t>
            </w:r>
          </w:p>
        </w:tc>
        <w:tc>
          <w:tcPr>
            <w:tcW w:type="dxa" w:w="125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center"/>
            </w:pPr>
            <w:r>
              <w:rPr>
                <w:b/>
                <w:bCs/>
                <w:color w:val="000000"/>
                <w:sz w:val="20"/>
                <w:szCs w:val="20"/>
              </w:rPr>
              <w:t xml:space="preserve">91 443</w:t>
            </w:r>
          </w:p>
        </w:tc>
        <w:tc>
          <w:tcPr>
            <w:tcW w:type="dxa" w:w="125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center"/>
            </w:pPr>
            <w:r>
              <w:rPr>
                <w:b/>
                <w:bCs/>
                <w:color w:val="000000"/>
                <w:sz w:val="20"/>
                <w:szCs w:val="20"/>
              </w:rPr>
              <w:t xml:space="preserve">105 184</w:t>
            </w:r>
          </w:p>
        </w:tc>
        <w:tc>
          <w:tcPr>
            <w:tcW w:type="dxa" w:w="150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center"/>
            </w:pPr>
            <w:r>
              <w:rPr>
                <w:b/>
                <w:bCs/>
                <w:color w:val="000000"/>
                <w:sz w:val="20"/>
                <w:szCs w:val="20"/>
              </w:rPr>
              <w:t xml:space="preserve">+ 15,03</w:t>
            </w:r>
          </w:p>
        </w:tc>
        <w:tc>
          <w:tcPr>
            <w:tcW w:type="dxa" w:w="150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center"/>
            </w:pPr>
            <w:r>
              <w:rPr>
                <w:b/>
                <w:bCs/>
                <w:color w:val="000000"/>
                <w:sz w:val="20"/>
                <w:szCs w:val="20"/>
              </w:rPr>
              <w:t xml:space="preserve">100,00</w:t>
            </w:r>
          </w:p>
        </w:tc>
        <w:tc>
          <w:tcPr>
            <w:tcW w:type="dxa" w:w="125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center"/>
            </w:pPr>
            <w:r>
              <w:rPr>
                <w:b/>
                <w:bCs/>
                <w:color w:val="000000"/>
                <w:sz w:val="20"/>
                <w:szCs w:val="20"/>
              </w:rPr>
              <w:t xml:space="preserve">45 342</w:t>
            </w:r>
          </w:p>
        </w:tc>
        <w:tc>
          <w:tcPr>
            <w:tcW w:type="dxa" w:w="181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center"/>
            </w:pPr>
            <w:r>
              <w:rPr>
                <w:b/>
                <w:bCs/>
                <w:color w:val="000000"/>
                <w:sz w:val="20"/>
                <w:szCs w:val="20"/>
              </w:rPr>
              <w:t xml:space="preserve">43,11</w:t>
            </w:r>
          </w:p>
        </w:tc>
      </w:tr>
    </w:tbl>
    <w:p>
      <w:pPr>
        <w:spacing w:after="100"/>
      </w:pPr>
    </w:p>
    <w:p>
      <w:pPr>
        <w:spacing w:after="160" w:before="0" w:line="276"/>
        <w:jc w:val="both"/>
      </w:pPr>
      <w:r>
        <w:rPr>
          <w:b/>
          <w:bCs/>
        </w:rPr>
        <w:t xml:space="preserve">Exemples de calculs justifiés (à faire figurer sur la copie, au moins pour une ligne) :</w:t>
      </w:r>
    </w:p>
    <w:p>
      <w:pPr>
        <w:pStyle w:val="ListParagraph"/>
        <w:numPr>
          <w:ilvl w:val="0"/>
          <w:numId w:val="2"/>
        </w:numPr>
        <w:spacing w:after="80" w:line="264"/>
        <w:jc w:val="both"/>
      </w:pPr>
      <w:r>
        <w:t xml:space="preserve">Évolution tapis de selle : (34 502 − 28 652) / 28 652 × 100 = 5 850 / 28 652 = </w:t>
      </w:r>
      <w:r>
        <w:rPr>
          <w:b/>
          <w:bCs/>
        </w:rPr>
        <w:t xml:space="preserve">+ 20,42 %</w:t>
      </w:r>
    </w:p>
    <w:p>
      <w:pPr>
        <w:pStyle w:val="ListParagraph"/>
        <w:numPr>
          <w:ilvl w:val="0"/>
          <w:numId w:val="2"/>
        </w:numPr>
        <w:spacing w:after="80" w:line="264"/>
        <w:jc w:val="both"/>
      </w:pPr>
      <w:r>
        <w:t xml:space="preserve">Part des couvertures : 37 126 / 105 184 × 100 = </w:t>
      </w:r>
      <w:r>
        <w:rPr>
          <w:b/>
          <w:bCs/>
        </w:rPr>
        <w:t xml:space="preserve">35,30 %</w:t>
      </w:r>
    </w:p>
    <w:p>
      <w:pPr>
        <w:pStyle w:val="ListParagraph"/>
        <w:numPr>
          <w:ilvl w:val="0"/>
          <w:numId w:val="2"/>
        </w:numPr>
        <w:spacing w:after="80" w:line="264"/>
        <w:jc w:val="both"/>
      </w:pPr>
      <w:r>
        <w:t xml:space="preserve">Taux de marge soins : 6 838 / 25 196 × 100 = </w:t>
      </w:r>
      <w:r>
        <w:rPr>
          <w:b/>
          <w:bCs/>
        </w:rPr>
        <w:t xml:space="preserve">27,14 %</w:t>
      </w:r>
    </w:p>
    <w:p>
      <w:pPr>
        <w:pStyle w:val="Heading3"/>
        <w:spacing w:after="120" w:before="220"/>
      </w:pPr>
      <w:r>
        <w:rPr>
          <w:b/>
          <w:bCs/>
          <w:color w:val="2E5FA3"/>
        </w:rPr>
        <w:t xml:space="preserve">Interprétation du résultat</w:t>
      </w:r>
    </w:p>
    <w:p>
      <w:pPr>
        <w:spacing w:after="160" w:before="0" w:line="276"/>
        <w:jc w:val="both"/>
      </w:pPr>
      <w:r>
        <w:t xml:space="preserve">Le tableau transforme quatre listes de chiffres en un diagnostic immédiat : l'univers « cheval » croît fortement (+ 15 %), mais cette moyenne masque des situations très contrastées — c'est tout l'intérêt de l'outil. La lecture détaillée fait l'objet de la question 2.2 : ici, l'essentiel est que votre tableau </w:t>
      </w:r>
      <w:r>
        <w:rPr>
          <w:b/>
          <w:bCs/>
        </w:rPr>
        <w:t xml:space="preserve">permette</w:t>
      </w:r>
      <w:r>
        <w:t xml:space="preserve"> cette lecture (colonnes comparables, total vérifié, taux calculés). Un tableau de bord réussi est celui dont un dirigeant tire des conclusions en trente secondes.</w:t>
      </w:r>
    </w:p>
    <w:p>
      <w:pPr>
        <w:pStyle w:val="Heading3"/>
        <w:spacing w:after="120" w:before="220"/>
      </w:pPr>
      <w:r>
        <w:rPr>
          <w:b/>
          <w:bCs/>
          <w:color w:val="2E5FA3"/>
        </w:rPr>
        <w:t xml:space="preserve">Réponse rédigée attendue</w:t>
      </w:r>
    </w:p>
    <w:p>
      <w:pPr>
        <w:spacing w:after="160" w:before="0" w:line="276"/>
        <w:jc w:val="both"/>
      </w:pPr>
      <w:r>
        <w:t xml:space="preserve">La réponse attendue </w:t>
      </w:r>
      <w:r>
        <w:rPr>
          <w:b/>
          <w:bCs/>
        </w:rPr>
        <w:t xml:space="preserve">est</w:t>
      </w:r>
      <w:r>
        <w:t xml:space="preserve"> le tableau ci-dessus, précédé d'une phrase de présentation du type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D32" w:sz="6"/>
              <w:left w:val="single" w:color="2E7D32" w:sz="24"/>
              <w:bottom w:val="single" w:color="2E7D32" w:sz="6"/>
              <w:right w:val="single" w:color="2E7D32" w:sz="6"/>
            </w:tcBorders>
            <w:shd w:fill="F2F6FB" w:val="clear"/>
            <w:tcMar>
              <w:top w:type="dxa" w:w="120"/>
              <w:left w:type="dxa" w:w="200"/>
              <w:bottom w:type="dxa" w:w="120"/>
              <w:right w:type="dxa" w:w="200"/>
            </w:tcMar>
          </w:tcPr>
          <w:p>
            <w:pPr>
              <w:spacing w:after="40" w:before="40" w:line="264"/>
            </w:pPr>
            <w:r>
              <w:t xml:space="preserve">« Pour piloter l'univers “cheval”, je propose le tableau de bord suivant, qui croise pour chaque famille la dynamique du chiffre d'affaires (évolution 2024/2023), son poids dans l'activité (part du CA 2024) et sa rentabilité commerciale (marge et taux de marge sur CA). » — suivi du tableau complété, formules apparentes.</w:t>
            </w:r>
          </w:p>
        </w:tc>
      </w:tr>
    </w:tbl>
    <w:p>
      <w:pPr>
        <w:pStyle w:val="Heading3"/>
        <w:spacing w:after="120" w:before="220"/>
      </w:pPr>
      <w:r>
        <w:rPr>
          <w:b/>
          <w:bCs/>
          <w:color w:val="2E5FA3"/>
        </w:rPr>
        <w:t xml:space="preserve">Conseils du correcteur</w:t>
      </w:r>
    </w:p>
    <w:p>
      <w:pPr>
        <w:pStyle w:val="ListParagraph"/>
        <w:numPr>
          <w:ilvl w:val="0"/>
          <w:numId w:val="2"/>
        </w:numPr>
        <w:spacing w:after="80" w:line="264"/>
        <w:jc w:val="both"/>
      </w:pPr>
      <w:r>
        <w:rPr>
          <w:b/>
          <w:bCs/>
        </w:rPr>
        <w:t xml:space="preserve">Le choix des indicateurs est noté</w:t>
      </w:r>
      <w:r>
        <w:t xml:space="preserve"> : évolution + structure + rentabilité est le triptyque attendu. Un tableau qui recopie seulement les CA sans calculer de taux ne « conçoit » rien.</w:t>
      </w:r>
    </w:p>
    <w:p>
      <w:pPr>
        <w:pStyle w:val="ListParagraph"/>
        <w:numPr>
          <w:ilvl w:val="0"/>
          <w:numId w:val="2"/>
        </w:numPr>
        <w:spacing w:after="80" w:line="264"/>
        <w:jc w:val="both"/>
      </w:pPr>
      <w:r>
        <w:t xml:space="preserve">Indiquez </w:t>
      </w:r>
      <w:r>
        <w:rPr>
          <w:b/>
          <w:bCs/>
        </w:rPr>
        <w:t xml:space="preserve">les formules</w:t>
      </w:r>
      <w:r>
        <w:t xml:space="preserve"> en tête de colonne ou en dessous du tableau : c'est ce qui distingue un tableau de bord d'une simple grille de chiffres.</w:t>
      </w:r>
    </w:p>
    <w:p>
      <w:pPr>
        <w:pStyle w:val="ListParagraph"/>
        <w:numPr>
          <w:ilvl w:val="0"/>
          <w:numId w:val="2"/>
        </w:numPr>
        <w:spacing w:after="80" w:line="264"/>
        <w:jc w:val="both"/>
      </w:pPr>
      <w:r>
        <w:rPr>
          <w:b/>
          <w:bCs/>
        </w:rPr>
        <w:t xml:space="preserve">Deux décimales</w:t>
      </w:r>
      <w:r>
        <w:t xml:space="preserve"> suffisent pour les pourcentages ; soyez homogène sur tout le tableau.</w:t>
      </w:r>
    </w:p>
    <w:p>
      <w:pPr>
        <w:pStyle w:val="ListParagraph"/>
        <w:numPr>
          <w:ilvl w:val="0"/>
          <w:numId w:val="2"/>
        </w:numPr>
        <w:spacing w:after="80" w:line="264"/>
        <w:jc w:val="both"/>
      </w:pPr>
      <w:r>
        <w:t xml:space="preserve">Ajouter une ligne TOTAL est indispensable : le total est la référence qui permet de situer chaque famille.</w:t>
      </w:r>
    </w:p>
    <w:p>
      <w:pPr>
        <w:pStyle w:val="ListParagraph"/>
        <w:numPr>
          <w:ilvl w:val="0"/>
          <w:numId w:val="2"/>
        </w:numPr>
        <w:spacing w:after="80" w:line="264"/>
        <w:jc w:val="both"/>
      </w:pPr>
      <w:r>
        <w:t xml:space="preserve">Temps conseillé : </w:t>
      </w:r>
      <w:r>
        <w:rPr>
          <w:b/>
          <w:bCs/>
        </w:rPr>
        <w:t xml:space="preserve">20 à 25 minutes</w:t>
      </w:r>
      <w:r>
        <w:t xml:space="preserve">. C'est long, mais ce tableau alimente les questions 2.2 et 2.3 : c'est un investissement.</w:t>
      </w:r>
    </w:p>
    <w:p>
      <w:pPr>
        <w:pBdr>
          <w:left w:val="single" w:color="2E5FA3" w:sz="18" w:space="8"/>
        </w:pBdr>
        <w:spacing w:after="160" w:before="60" w:line="276"/>
        <w:ind w:left="360"/>
      </w:pPr>
      <w:r>
        <w:rPr>
          <w:i/>
          <w:iCs/>
          <w:color w:val="2E5FA3"/>
        </w:rPr>
        <w:t xml:space="preserve">Ici, attention : le correcteur ne vous demande pas de commenter — c'est la question suivante. Ne rédigez pas deux fois la même analyse ; à la 2.1, concentrez-vous sur la construction irréprochable de l'outil.</w:t>
      </w:r>
    </w:p>
    <w:p>
      <w:pPr>
        <w:pStyle w:val="Heading3"/>
        <w:spacing w:after="120" w:before="220"/>
      </w:pPr>
      <w:r>
        <w:rPr>
          <w:b/>
          <w:bCs/>
          <w:color w:val="2E5FA3"/>
        </w:rPr>
        <w:t xml:space="preserve">Les erreurs fréquentes à éviter</w:t>
      </w:r>
    </w:p>
    <w:p>
      <w:pPr>
        <w:pStyle w:val="ListParagraph"/>
        <w:numPr>
          <w:ilvl w:val="0"/>
          <w:numId w:val="2"/>
        </w:numPr>
        <w:spacing w:after="80" w:line="264"/>
        <w:jc w:val="both"/>
      </w:pPr>
      <w:r>
        <w:rPr>
          <w:b/>
          <w:bCs/>
        </w:rPr>
        <w:t xml:space="preserve">Inverser valeur de départ et valeur d'arrivée</w:t>
      </w:r>
      <w:r>
        <w:t xml:space="preserve"> dans le taux d'évolution (diviser par 2024 au lieu de 2023).</w:t>
      </w:r>
    </w:p>
    <w:p>
      <w:pPr>
        <w:pStyle w:val="ListParagraph"/>
        <w:numPr>
          <w:ilvl w:val="0"/>
          <w:numId w:val="2"/>
        </w:numPr>
        <w:spacing w:after="80" w:line="264"/>
        <w:jc w:val="both"/>
      </w:pPr>
      <w:r>
        <w:rPr>
          <w:b/>
          <w:bCs/>
        </w:rPr>
        <w:t xml:space="preserve">Confondre taux de marge et taux d'évolution de la marge</w:t>
      </w:r>
      <w:r>
        <w:t xml:space="preserve"> : sans les marges 2023, aucune évolution de marge n'est calculable — n'inventez pas de données.</w:t>
      </w:r>
    </w:p>
    <w:p>
      <w:pPr>
        <w:pStyle w:val="ListParagraph"/>
        <w:numPr>
          <w:ilvl w:val="0"/>
          <w:numId w:val="2"/>
        </w:numPr>
        <w:spacing w:after="80" w:line="264"/>
        <w:jc w:val="both"/>
      </w:pPr>
      <w:r>
        <w:rPr>
          <w:b/>
          <w:bCs/>
        </w:rPr>
        <w:t xml:space="preserve">Oublier la ligne TOTAL</w:t>
      </w:r>
      <w:r>
        <w:t xml:space="preserve"> ou présenter un total de parts différent de 100 % sans s'en apercevoir.</w:t>
      </w:r>
    </w:p>
    <w:p>
      <w:pPr>
        <w:pStyle w:val="ListParagraph"/>
        <w:numPr>
          <w:ilvl w:val="0"/>
          <w:numId w:val="2"/>
        </w:numPr>
        <w:spacing w:after="80" w:line="264"/>
        <w:jc w:val="both"/>
      </w:pPr>
      <w:r>
        <w:rPr>
          <w:b/>
          <w:bCs/>
        </w:rPr>
        <w:t xml:space="preserve">Proposer des indicateurs incalculables</w:t>
      </w:r>
      <w:r>
        <w:t xml:space="preserve"> (panier moyen, taux de transformation) : cela signale que vous ne partez pas des annexes.</w:t>
      </w:r>
    </w:p>
    <w:p>
      <w:pPr>
        <w:pStyle w:val="ListParagraph"/>
        <w:numPr>
          <w:ilvl w:val="0"/>
          <w:numId w:val="2"/>
        </w:numPr>
        <w:spacing w:after="80" w:line="264"/>
        <w:jc w:val="both"/>
      </w:pPr>
      <w:r>
        <w:rPr>
          <w:b/>
          <w:bCs/>
        </w:rPr>
        <w:t xml:space="preserve">Rendre un tableau sans titre, sans unités, sans année</w:t>
      </w:r>
      <w:r>
        <w:t xml:space="preserve"> : un outil de pilotage anonyme ne sert à personne.</w:t>
      </w:r>
    </w:p>
    <w:p>
      <w:pPr>
        <w:pStyle w:val="Heading3"/>
        <w:spacing w:after="120" w:before="220"/>
      </w:pPr>
      <w:r>
        <w:rPr>
          <w:b/>
          <w:bCs/>
          <w:color w:val="2E5FA3"/>
        </w:rPr>
        <w:t xml:space="preserve">Exemple complémentaire</w:t>
      </w:r>
    </w:p>
    <w:p>
      <w:pPr>
        <w:spacing w:after="160" w:before="0" w:line="276"/>
        <w:jc w:val="both"/>
      </w:pPr>
      <w:r>
        <w:rPr>
          <w:i/>
          <w:iCs/>
        </w:rPr>
        <w:t xml:space="preserve">Mini-cas.</w:t>
      </w:r>
      <w:r>
        <w:t xml:space="preserve"> Un magasin de sport suit deux rayons : Running (CA N−1 : 120 000 €, CA N : 138 000 €, marge N : 48 300 €) et Fitness (CA N−1 : 80 000 €, CA N : 76 000 €, marge N : 30 400 €). Construisez les trois indicateurs. </w:t>
      </w:r>
      <w:r>
        <w:rPr>
          <w:i/>
          <w:iCs/>
        </w:rPr>
        <w:t xml:space="preserve">Corrigé express</w:t>
      </w:r>
      <w:r>
        <w:t xml:space="preserve"> : Running : +15 % d'évolution, part 64,5 %, taux de marge 35 % ; Fitness : −5 %, part 35,5 %, taux de marge 40 %. Constat type : le rayon qui recule est le mieux margé — le tableau de bord révèle un arbitrage à faire, exactement comme le rayon « soins » chez Equi'Dam (mais dans l'autre sens).</w:t>
      </w:r>
    </w:p>
    <w:p>
      <w:pPr>
        <w:pStyle w:val="Heading3"/>
        <w:spacing w:after="120" w:before="220"/>
      </w:pPr>
      <w:r>
        <w:rPr>
          <w:b/>
          <w:bCs/>
          <w:color w:val="2E5FA3"/>
        </w:rPr>
        <w:t xml:space="preserve">À retenir pour l'examen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t xml:space="preserve">Un tableau de bord = familles en lignes, indicateurs en colonnes, ligne TOTAL, formules visibles.</w:t>
            </w:r>
          </w:p>
          <w:p>
            <w:pPr>
              <w:spacing w:after="80" w:before="0" w:line="264"/>
            </w:pPr>
            <w:r>
              <w:t xml:space="preserve">Triptyque d'indicateurs : dynamique (évolution), structure (part du CA), rentabilité (taux de marge).</w:t>
            </w:r>
          </w:p>
          <w:p>
            <w:pPr>
              <w:spacing w:after="80" w:before="0" w:line="264"/>
            </w:pPr>
            <w:r>
              <w:t xml:space="preserve">Taux d'évolution = (VA − VD) / VD ; on divise toujours par la valeur de départ.</w:t>
            </w:r>
          </w:p>
          <w:p>
            <w:pPr>
              <w:spacing w:after="40" w:before="0" w:line="264"/>
            </w:pPr>
            <w:r>
              <w:t xml:space="preserve">Vérifications automatiques : somme des parts = 100 % ; totaux = totaux de l'annexe.</w:t>
            </w:r>
          </w:p>
        </w:tc>
      </w:tr>
    </w:tbl>
    <w:p>
      <w:pPr>
        <w:pStyle w:val="Heading2"/>
        <w:spacing w:after="180" w:before="280"/>
      </w:pPr>
      <w:r>
        <w:rPr>
          <w:b/>
          <w:bCs/>
          <w:color w:val="1F3864"/>
        </w:rPr>
        <w:t xml:space="preserve">Question 2.2 – Rendez compte à Pascale Prunet des performances commerciales de cet univers</w:t>
      </w:r>
    </w:p>
    <w:p>
      <w:pPr>
        <w:pStyle w:val="Heading3"/>
        <w:spacing w:after="120" w:before="220"/>
      </w:pPr>
      <w:r>
        <w:rPr>
          <w:b/>
          <w:bCs/>
          <w:color w:val="2E5FA3"/>
        </w:rPr>
        <w:t xml:space="preserve">Ce que la question vous demande</w:t>
      </w:r>
    </w:p>
    <w:p>
      <w:pPr>
        <w:spacing w:after="160" w:before="0" w:line="276"/>
        <w:jc w:val="both"/>
      </w:pPr>
      <w:r>
        <w:t xml:space="preserve">« Rendre compte » est un verbe précis du référentiel : il s'agit de produire un </w:t>
      </w:r>
      <w:r>
        <w:rPr>
          <w:b/>
          <w:bCs/>
        </w:rPr>
        <w:t xml:space="preserve">commentaire de gestion structuré</w:t>
      </w:r>
      <w:r>
        <w:t xml:space="preserve">, destiné à la dirigeante, qui exploite le tableau de bord de la question 2.1. Le correcteur attend une analyse à deux niveaux : (1) la </w:t>
      </w:r>
      <w:r>
        <w:rPr>
          <w:b/>
          <w:bCs/>
        </w:rPr>
        <w:t xml:space="preserve">performance globale</w:t>
      </w:r>
      <w:r>
        <w:t xml:space="preserve"> de l'univers ; (2) les </w:t>
      </w:r>
      <w:r>
        <w:rPr>
          <w:b/>
          <w:bCs/>
        </w:rPr>
        <w:t xml:space="preserve">performances par famille</w:t>
      </w:r>
      <w:r>
        <w:t xml:space="preserve">, en croisant systématiquement les trois dimensions (dynamique, poids, rentabilité). La forme peut être un développement rédigé ou un plan à puces argumenté — mais chaque affirmation doit citer un chiffre.</w:t>
      </w:r>
    </w:p>
    <w:p>
      <w:pPr>
        <w:pStyle w:val="Heading3"/>
        <w:spacing w:after="120" w:before="220"/>
      </w:pPr>
      <w:r>
        <w:rPr>
          <w:b/>
          <w:bCs/>
          <w:color w:val="2E5FA3"/>
        </w:rPr>
        <w:t xml:space="preserve">Compétence et notion du référentiel mobilisées</w:t>
      </w:r>
    </w:p>
    <w:p>
      <w:pPr>
        <w:pStyle w:val="ListParagraph"/>
        <w:numPr>
          <w:ilvl w:val="0"/>
          <w:numId w:val="2"/>
        </w:numPr>
        <w:spacing w:after="80" w:line="264"/>
        <w:jc w:val="both"/>
      </w:pPr>
      <w:r>
        <w:rPr>
          <w:b/>
          <w:bCs/>
        </w:rPr>
        <w:t xml:space="preserve">Bloc 3 – « Analyser les performances »</w:t>
      </w:r>
      <w:r>
        <w:t xml:space="preserve"> : « analyser la rentabilité de l'activité », « rendre compte ». Critère d'évaluation : « les comptes rendus sont adaptés et exploitables ».</w:t>
      </w:r>
    </w:p>
    <w:p>
      <w:pPr>
        <w:pStyle w:val="ListParagraph"/>
        <w:numPr>
          <w:ilvl w:val="0"/>
          <w:numId w:val="2"/>
        </w:numPr>
        <w:spacing w:after="80" w:line="264"/>
        <w:jc w:val="both"/>
      </w:pPr>
      <w:r>
        <w:rPr>
          <w:b/>
          <w:bCs/>
        </w:rPr>
        <w:t xml:space="preserve">Savoir associé</w:t>
      </w:r>
      <w:r>
        <w:t xml:space="preserve"> : « le reporting » (les supports et les canaux du reporting), « la rentabilité de l'activité ».</w:t>
      </w:r>
    </w:p>
    <w:p>
      <w:pPr>
        <w:pStyle w:val="ListParagraph"/>
        <w:numPr>
          <w:ilvl w:val="0"/>
          <w:numId w:val="2"/>
        </w:numPr>
        <w:spacing w:after="80" w:line="264"/>
        <w:jc w:val="both"/>
      </w:pPr>
      <w:r>
        <w:rPr>
          <w:b/>
          <w:bCs/>
        </w:rPr>
        <w:t xml:space="preserve">Objectif professionnel</w:t>
      </w:r>
      <w:r>
        <w:t xml:space="preserve"> : la remontée d'informations vers la direction (reporting), citée dans les « résultats attendus » du domaine d'activités 3 : « la remontée des informations est réalisée ».</w:t>
      </w:r>
    </w:p>
    <w:p>
      <w:pPr>
        <w:pStyle w:val="Heading3"/>
        <w:spacing w:after="120" w:before="220"/>
      </w:pPr>
      <w:r>
        <w:rPr>
          <w:b/>
          <w:bCs/>
          <w:color w:val="2E5FA3"/>
        </w:rPr>
        <w:t xml:space="preserve">Rappel de cours</w:t>
      </w:r>
    </w:p>
    <w:p>
      <w:pPr>
        <w:spacing w:after="160" w:before="0" w:line="276"/>
        <w:jc w:val="both"/>
      </w:pPr>
      <w:r>
        <w:t xml:space="preserve">Un </w:t>
      </w:r>
      <w:r>
        <w:rPr>
          <w:b/>
          <w:bCs/>
        </w:rPr>
        <w:t xml:space="preserve">compte rendu de performances</w:t>
      </w:r>
      <w:r>
        <w:t xml:space="preserve"> efficace suit une grille de lecture constante :</w:t>
      </w:r>
    </w:p>
    <w:p>
      <w:pPr>
        <w:pStyle w:val="ListParagraph"/>
        <w:numPr>
          <w:ilvl w:val="0"/>
          <w:numId w:val="2"/>
        </w:numPr>
        <w:spacing w:after="80" w:line="264"/>
        <w:jc w:val="both"/>
      </w:pPr>
      <w:r>
        <w:rPr>
          <w:b/>
          <w:bCs/>
        </w:rPr>
        <w:t xml:space="preserve">Constat global</w:t>
      </w:r>
      <w:r>
        <w:t xml:space="preserve"> : tendance d'ensemble, chiffre-clé (CA total, évolution, marge globale) ;</w:t>
      </w:r>
    </w:p>
    <w:p>
      <w:pPr>
        <w:pStyle w:val="ListParagraph"/>
        <w:numPr>
          <w:ilvl w:val="0"/>
          <w:numId w:val="2"/>
        </w:numPr>
        <w:spacing w:after="80" w:line="264"/>
        <w:jc w:val="both"/>
      </w:pPr>
      <w:r>
        <w:rPr>
          <w:b/>
          <w:bCs/>
        </w:rPr>
        <w:t xml:space="preserve">Analyse différenciée</w:t>
      </w:r>
      <w:r>
        <w:t xml:space="preserve"> : identifier les familles « locomotives » (fortes contribution et dynamique), les familles « prometteuses » (forte dynamique, faible poids) et les familles « à surveiller » (dynamique faible et/ou rentabilité dégradée) ;</w:t>
      </w:r>
    </w:p>
    <w:p>
      <w:pPr>
        <w:pStyle w:val="ListParagraph"/>
        <w:numPr>
          <w:ilvl w:val="0"/>
          <w:numId w:val="2"/>
        </w:numPr>
        <w:spacing w:after="80" w:line="264"/>
        <w:jc w:val="both"/>
      </w:pPr>
      <w:r>
        <w:rPr>
          <w:b/>
          <w:bCs/>
        </w:rPr>
        <w:t xml:space="preserve">Mise en perspective</w:t>
      </w:r>
      <w:r>
        <w:t xml:space="preserve"> : causes possibles, points de vigilance, premières pistes d'action.</w:t>
      </w:r>
    </w:p>
    <w:p>
      <w:pPr>
        <w:spacing w:after="160" w:before="0" w:line="276"/>
        <w:jc w:val="both"/>
      </w:pPr>
      <w:r>
        <w:t xml:space="preserve">Gardez en tête la complémentarité </w:t>
      </w:r>
      <w:r>
        <w:rPr>
          <w:b/>
          <w:bCs/>
        </w:rPr>
        <w:t xml:space="preserve">valeur / taux</w:t>
      </w:r>
      <w:r>
        <w:t xml:space="preserve"> : une famille se juge à la fois sur ce qu'elle rapporte en euros (contribution) et sur son efficacité en pourcentage (rentabilité). Ne hiérarchisez jamais les familles sur un seul critère.</w:t>
      </w:r>
    </w:p>
    <w:p>
      <w:pPr>
        <w:pStyle w:val="Heading3"/>
        <w:spacing w:after="120" w:before="220"/>
      </w:pPr>
      <w:r>
        <w:rPr>
          <w:b/>
          <w:bCs/>
          <w:color w:val="2E5FA3"/>
        </w:rPr>
        <w:t xml:space="preserve">Méthode à appliquer</w:t>
      </w:r>
    </w:p>
    <w:p>
      <w:pPr>
        <w:pStyle w:val="ListParagraph"/>
        <w:numPr>
          <w:ilvl w:val="0"/>
          <w:numId w:val="2"/>
        </w:numPr>
        <w:spacing w:after="80" w:line="264"/>
        <w:jc w:val="both"/>
      </w:pPr>
      <w:r>
        <w:rPr>
          <w:b/>
          <w:bCs/>
        </w:rPr>
        <w:t xml:space="preserve">Étape 1</w:t>
      </w:r>
      <w:r>
        <w:t xml:space="preserve"> – Ouvrir sur le global : + 15,03 % de CA, 105 184 €, marge 45 342 €, taux moyen 43,11 %.</w:t>
      </w:r>
    </w:p>
    <w:p>
      <w:pPr>
        <w:pStyle w:val="ListParagraph"/>
        <w:numPr>
          <w:ilvl w:val="0"/>
          <w:numId w:val="2"/>
        </w:numPr>
        <w:spacing w:after="80" w:line="264"/>
        <w:jc w:val="both"/>
      </w:pPr>
      <w:r>
        <w:rPr>
          <w:b/>
          <w:bCs/>
        </w:rPr>
        <w:t xml:space="preserve">Étape 2</w:t>
      </w:r>
      <w:r>
        <w:t xml:space="preserve"> – Passer chaque famille au crible des trois indicateurs et la qualifier (locomotive, relais de croissance, point faible).</w:t>
      </w:r>
    </w:p>
    <w:p>
      <w:pPr>
        <w:pStyle w:val="ListParagraph"/>
        <w:numPr>
          <w:ilvl w:val="0"/>
          <w:numId w:val="2"/>
        </w:numPr>
        <w:spacing w:after="80" w:line="264"/>
        <w:jc w:val="both"/>
      </w:pPr>
      <w:r>
        <w:rPr>
          <w:b/>
          <w:bCs/>
        </w:rPr>
        <w:t xml:space="preserve">Étape 3</w:t>
      </w:r>
      <w:r>
        <w:t xml:space="preserve"> – Hiérarchiser les messages : le fait saillant (ici, la faiblesse de la famille « soins ») doit ressortir clairement.</w:t>
      </w:r>
    </w:p>
    <w:p>
      <w:pPr>
        <w:pStyle w:val="ListParagraph"/>
        <w:numPr>
          <w:ilvl w:val="0"/>
          <w:numId w:val="2"/>
        </w:numPr>
        <w:spacing w:after="80" w:line="264"/>
        <w:jc w:val="both"/>
      </w:pPr>
      <w:r>
        <w:rPr>
          <w:b/>
          <w:bCs/>
        </w:rPr>
        <w:t xml:space="preserve">Étape 4</w:t>
      </w:r>
      <w:r>
        <w:t xml:space="preserve"> – Conclure par une appréciation d'ensemble et une alerte.</w:t>
      </w:r>
    </w:p>
    <w:p>
      <w:pPr>
        <w:pStyle w:val="Heading3"/>
        <w:spacing w:after="120" w:before="220"/>
      </w:pPr>
      <w:r>
        <w:rPr>
          <w:b/>
          <w:bCs/>
          <w:color w:val="2E5FA3"/>
        </w:rPr>
        <w:t xml:space="preserve">Correction détaillée et réponse rédigée attendue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D32" w:sz="6"/>
              <w:left w:val="single" w:color="2E7D32" w:sz="24"/>
              <w:bottom w:val="single" w:color="2E7D32" w:sz="6"/>
              <w:right w:val="single" w:color="2E7D32" w:sz="6"/>
            </w:tcBorders>
            <w:shd w:fill="F2F6FB" w:val="clear"/>
            <w:tcMar>
              <w:top w:type="dxa" w:w="120"/>
              <w:left w:type="dxa" w:w="200"/>
              <w:bottom w:type="dxa" w:w="120"/>
              <w:right w:type="dxa" w:w="200"/>
            </w:tcMar>
          </w:tcPr>
          <w:p>
            <w:pPr>
              <w:spacing w:after="80" w:before="40" w:line="264"/>
            </w:pPr>
            <w:r>
              <w:rPr>
                <w:b/>
                <w:bCs/>
              </w:rPr>
              <w:t xml:space="preserve">Une performance d'ensemble très satisfaisante.</w:t>
            </w:r>
            <w:r>
              <w:t xml:space="preserve"> L'univers « cheval » progresse de + 15,03 % en 2024, à 105 184 € HT (+ 13 741 €). Toutes les familles sont en croissance et l'univers dégage 45 342 € de marge, soit un taux de marge sur CA confortable de 43,11 %.</w:t>
            </w:r>
          </w:p>
          <w:p>
            <w:pPr>
              <w:spacing w:after="80" w:before="0" w:line="264"/>
            </w:pPr>
            <w:r>
              <w:rPr>
                <w:b/>
                <w:bCs/>
              </w:rPr>
              <w:t xml:space="preserve">Les couvertures, locomotive de l'univers.</w:t>
            </w:r>
            <w:r>
              <w:t xml:space="preserve"> Première famille en poids (35,30 % du CA), première en marge (20 438 €, soit 45 % de la marge totale) et la plus rentable (55,05 % de taux de marge), avec une croissance soutenue (+ 14,70 %). C'est le pilier de l'activité, à protéger en priorité (disponibilité, largeur de gamme).</w:t>
            </w:r>
          </w:p>
          <w:p>
            <w:pPr>
              <w:spacing w:after="80" w:before="0" w:line="264"/>
            </w:pPr>
            <w:r>
              <w:rPr>
                <w:b/>
                <w:bCs/>
              </w:rPr>
              <w:t xml:space="preserve">Les tapis de selle, deuxième pilier dynamique.</w:t>
            </w:r>
            <w:r>
              <w:t xml:space="preserve"> 32,80 % du CA, croissance vive (+ 20,42 %), rentabilité proche de la moyenne (42,40 %). Contribution en marge solide : 14 628 €.</w:t>
            </w:r>
          </w:p>
          <w:p>
            <w:pPr>
              <w:spacing w:after="80" w:before="0" w:line="264"/>
            </w:pPr>
            <w:r>
              <w:rPr>
                <w:b/>
                <w:bCs/>
              </w:rPr>
              <w:t xml:space="preserve">Les accessoires, relais de croissance.</w:t>
            </w:r>
            <w:r>
              <w:t xml:space="preserve"> La progression la plus forte (+ 25,24 %) et une rentabilité correcte (41,12 %), mais un poids encore marginal (7,95 %). Famille à développer (ventes complémentaires, mise en avant en caisse).</w:t>
            </w:r>
          </w:p>
          <w:p>
            <w:pPr>
              <w:spacing w:after="80" w:before="0" w:line="264"/>
            </w:pPr>
            <w:r>
              <w:rPr>
                <w:b/>
                <w:bCs/>
              </w:rPr>
              <w:t xml:space="preserve">Les soins, point faible manifeste.</w:t>
            </w:r>
            <w:r>
              <w:t xml:space="preserve"> Croissance la plus faible (+ 6,10 %, quatre fois moindre que celle des tapis), rentabilité très inférieure à la moyenne (27,14 % contre 43,11 %) : la famille pèse près de 24 % du CA mais seulement 15 % de la marge (6 838 / 45 342). Ses causes possibles : prix d'achat élevés (multiplicité de fournisseurs, faible pouvoir de négociation), concurrence sur ces produits banalisés. </w:t>
            </w:r>
            <w:r>
              <w:rPr>
                <w:b/>
                <w:bCs/>
              </w:rPr>
              <w:t xml:space="preserve">C'est le chantier prioritaire</w:t>
            </w:r>
            <w:r>
              <w:t xml:space="preserve"> — et ce n'est pas un hasard si le dossier 3 porte précisément sur la rationalisation des approvisionnements de cette famille.</w:t>
            </w:r>
          </w:p>
          <w:p>
            <w:pPr>
              <w:spacing w:after="40" w:before="0" w:line="264"/>
            </w:pPr>
            <w:r>
              <w:rPr>
                <w:b/>
                <w:bCs/>
              </w:rPr>
              <w:t xml:space="preserve">Conclusion : un univers en forte croissance et rentable, tiré par les couvertures et les tapis ; l'action corrective doit se concentrer sur la famille « soins », dont la rentabilité dégradée pèse sur la performance d'ensemble.</w:t>
            </w:r>
          </w:p>
        </w:tc>
      </w:tr>
    </w:tbl>
    <w:p>
      <w:pPr>
        <w:pStyle w:val="Heading3"/>
        <w:spacing w:after="120" w:before="220"/>
      </w:pPr>
      <w:r>
        <w:rPr>
          <w:b/>
          <w:bCs/>
          <w:color w:val="2E5FA3"/>
        </w:rPr>
        <w:t xml:space="preserve">Interprétation du résultat</w:t>
      </w:r>
    </w:p>
    <w:p>
      <w:pPr>
        <w:pStyle w:val="ListParagraph"/>
        <w:numPr>
          <w:ilvl w:val="0"/>
          <w:numId w:val="2"/>
        </w:numPr>
        <w:spacing w:after="80" w:line="264"/>
        <w:jc w:val="both"/>
      </w:pPr>
      <w:r>
        <w:rPr>
          <w:b/>
          <w:bCs/>
        </w:rPr>
        <w:t xml:space="preserve">Favorable globalement</w:t>
      </w:r>
      <w:r>
        <w:t xml:space="preserve"> : croissance générale, marge solide — l'unité commerciale est en bonne santé commerciale sur cet univers.</w:t>
      </w:r>
    </w:p>
    <w:p>
      <w:pPr>
        <w:pStyle w:val="ListParagraph"/>
        <w:numPr>
          <w:ilvl w:val="0"/>
          <w:numId w:val="2"/>
        </w:numPr>
        <w:spacing w:after="80" w:line="264"/>
        <w:jc w:val="both"/>
      </w:pPr>
      <w:r>
        <w:rPr>
          <w:b/>
          <w:bCs/>
        </w:rPr>
        <w:t xml:space="preserve">Défavorable localement</w:t>
      </w:r>
      <w:r>
        <w:t xml:space="preserve"> : la famille « soins » cumule les deux signaux d'alerte (dynamique et rentabilité faibles). Conséquences si rien n'est fait : dilution du taux de marge global, immobilisation de trésorerie en stocks peu rentables. Décisions envisageables pour le manager : renégocier ou concentrer les achats (dossier 3 !), réviser les prix de vente, réduire l'assortiment aux références qui tournent.</w:t>
      </w:r>
    </w:p>
    <w:p>
      <w:pPr>
        <w:pStyle w:val="Heading3"/>
        <w:spacing w:after="120" w:before="220"/>
      </w:pPr>
      <w:r>
        <w:rPr>
          <w:b/>
          <w:bCs/>
          <w:color w:val="2E5FA3"/>
        </w:rPr>
        <w:t xml:space="preserve">Conseils du correcteur</w:t>
      </w:r>
    </w:p>
    <w:p>
      <w:pPr>
        <w:pStyle w:val="ListParagraph"/>
        <w:numPr>
          <w:ilvl w:val="0"/>
          <w:numId w:val="2"/>
        </w:numPr>
        <w:spacing w:after="80" w:line="264"/>
        <w:jc w:val="both"/>
      </w:pPr>
      <w:r>
        <w:rPr>
          <w:b/>
          <w:bCs/>
        </w:rPr>
        <w:t xml:space="preserve">Chaque idée = un chiffre.</w:t>
      </w:r>
      <w:r>
        <w:t xml:space="preserve"> « Les couvertures se portent bien » vaut zéro ; « les couvertures dégagent 55 % de taux de marge, le plus élevé de l'univers » vaut les points.</w:t>
      </w:r>
    </w:p>
    <w:p>
      <w:pPr>
        <w:pStyle w:val="ListParagraph"/>
        <w:numPr>
          <w:ilvl w:val="0"/>
          <w:numId w:val="2"/>
        </w:numPr>
        <w:spacing w:after="80" w:line="264"/>
        <w:jc w:val="both"/>
      </w:pPr>
      <w:r>
        <w:rPr>
          <w:b/>
          <w:bCs/>
        </w:rPr>
        <w:t xml:space="preserve">Croisez les indicateurs</w:t>
      </w:r>
      <w:r>
        <w:t xml:space="preserve"> : la vraie valeur ajoutée est de dire qu'une famille pèse 24 % du CA mais 15 % de la marge. Les copies qui commentent colonne par colonne, sans croiser, restent moyennes.</w:t>
      </w:r>
    </w:p>
    <w:p>
      <w:pPr>
        <w:pStyle w:val="ListParagraph"/>
        <w:numPr>
          <w:ilvl w:val="0"/>
          <w:numId w:val="2"/>
        </w:numPr>
        <w:spacing w:after="80" w:line="264"/>
        <w:jc w:val="both"/>
      </w:pPr>
      <w:r>
        <w:rPr>
          <w:b/>
          <w:bCs/>
        </w:rPr>
        <w:t xml:space="preserve">Hiérarchisez</w:t>
      </w:r>
      <w:r>
        <w:t xml:space="preserve"> : commencez par le global, terminez par l'alerte. Un compte rendu qui noie le point faible au milieu d'un inventaire ne « rend pas compte ».</w:t>
      </w:r>
    </w:p>
    <w:p>
      <w:pPr>
        <w:pStyle w:val="ListParagraph"/>
        <w:numPr>
          <w:ilvl w:val="0"/>
          <w:numId w:val="2"/>
        </w:numPr>
        <w:spacing w:after="80" w:line="264"/>
        <w:jc w:val="both"/>
      </w:pPr>
      <w:r>
        <w:t xml:space="preserve">Utilisez le vocabulaire du manager : « locomotive », « relais de croissance », « contribution à la marge », « point de vigilance ».</w:t>
      </w:r>
    </w:p>
    <w:p>
      <w:pPr>
        <w:pStyle w:val="ListParagraph"/>
        <w:numPr>
          <w:ilvl w:val="0"/>
          <w:numId w:val="2"/>
        </w:numPr>
        <w:spacing w:after="80" w:line="264"/>
        <w:jc w:val="both"/>
      </w:pPr>
      <w:r>
        <w:t xml:space="preserve">Temps conseillé : </w:t>
      </w:r>
      <w:r>
        <w:rPr>
          <w:b/>
          <w:bCs/>
        </w:rPr>
        <w:t xml:space="preserve">15 minutes</w:t>
      </w:r>
      <w:r>
        <w:t xml:space="preserve">.</w:t>
      </w:r>
    </w:p>
    <w:p>
      <w:pPr>
        <w:pBdr>
          <w:left w:val="single" w:color="2E5FA3" w:sz="18" w:space="8"/>
        </w:pBdr>
        <w:spacing w:after="160" w:before="60" w:line="276"/>
        <w:ind w:left="360"/>
      </w:pPr>
      <w:r>
        <w:rPr>
          <w:i/>
          <w:iCs/>
          <w:color w:val="2E5FA3"/>
        </w:rPr>
        <w:t xml:space="preserve">Mettez-vous physiquement à la place de Pascale Prunet : elle a deux minutes pour vous lire entre deux clients. Si elle ne retient qu'une chose, ce doit être : « tout va bien, sauf les soins ». Construisez votre compte rendu pour que ce message soit inratable.</w:t>
      </w:r>
    </w:p>
    <w:p>
      <w:pPr>
        <w:pStyle w:val="Heading3"/>
        <w:spacing w:after="120" w:before="220"/>
      </w:pPr>
      <w:r>
        <w:rPr>
          <w:b/>
          <w:bCs/>
          <w:color w:val="2E5FA3"/>
        </w:rPr>
        <w:t xml:space="preserve">Les erreurs fréquentes à éviter</w:t>
      </w:r>
    </w:p>
    <w:p>
      <w:pPr>
        <w:pStyle w:val="ListParagraph"/>
        <w:numPr>
          <w:ilvl w:val="0"/>
          <w:numId w:val="2"/>
        </w:numPr>
        <w:spacing w:after="80" w:line="264"/>
        <w:jc w:val="both"/>
      </w:pPr>
      <w:r>
        <w:rPr>
          <w:b/>
          <w:bCs/>
        </w:rPr>
        <w:t xml:space="preserve">Paraphraser le tableau</w:t>
      </w:r>
      <w:r>
        <w:t xml:space="preserve"> ligne à ligne sans qualifier ni hiérarchiser.</w:t>
      </w:r>
    </w:p>
    <w:p>
      <w:pPr>
        <w:pStyle w:val="ListParagraph"/>
        <w:numPr>
          <w:ilvl w:val="0"/>
          <w:numId w:val="2"/>
        </w:numPr>
        <w:spacing w:after="80" w:line="264"/>
        <w:jc w:val="both"/>
      </w:pPr>
      <w:r>
        <w:rPr>
          <w:b/>
          <w:bCs/>
        </w:rPr>
        <w:t xml:space="preserve">Commenter sans chiffres</w:t>
      </w:r>
      <w:r>
        <w:t xml:space="preserve"> ou, à l'inverse, réciter tous les chiffres sans idée directrice.</w:t>
      </w:r>
    </w:p>
    <w:p>
      <w:pPr>
        <w:pStyle w:val="ListParagraph"/>
        <w:numPr>
          <w:ilvl w:val="0"/>
          <w:numId w:val="2"/>
        </w:numPr>
        <w:spacing w:after="80" w:line="264"/>
        <w:jc w:val="both"/>
      </w:pPr>
      <w:r>
        <w:rPr>
          <w:b/>
          <w:bCs/>
        </w:rPr>
        <w:t xml:space="preserve">Ignorer la dimension marge</w:t>
      </w:r>
      <w:r>
        <w:t xml:space="preserve"> et ne commenter que le CA : la moitié de l'analyse disparaît.</w:t>
      </w:r>
    </w:p>
    <w:p>
      <w:pPr>
        <w:pStyle w:val="ListParagraph"/>
        <w:numPr>
          <w:ilvl w:val="0"/>
          <w:numId w:val="2"/>
        </w:numPr>
        <w:spacing w:after="80" w:line="264"/>
        <w:jc w:val="both"/>
      </w:pPr>
      <w:r>
        <w:rPr>
          <w:b/>
          <w:bCs/>
        </w:rPr>
        <w:t xml:space="preserve">Ne pas signaler la famille « soins »</w:t>
      </w:r>
      <w:r>
        <w:t xml:space="preserve"> : c'est LE fait saillant attendu ; le manquer, c'est manquer la question.</w:t>
      </w:r>
    </w:p>
    <w:p>
      <w:pPr>
        <w:pStyle w:val="ListParagraph"/>
        <w:numPr>
          <w:ilvl w:val="0"/>
          <w:numId w:val="2"/>
        </w:numPr>
        <w:spacing w:after="80" w:line="264"/>
        <w:jc w:val="both"/>
      </w:pPr>
      <w:r>
        <w:rPr>
          <w:b/>
          <w:bCs/>
        </w:rPr>
        <w:t xml:space="preserve">Conclusion absente ou déconnectée des résultats</w:t>
      </w:r>
      <w:r>
        <w:t xml:space="preserve"> (« l'entreprise doit continuer ses efforts ») : formule creuse, aucun point.</w:t>
      </w:r>
    </w:p>
    <w:p>
      <w:pPr>
        <w:pStyle w:val="Heading3"/>
        <w:spacing w:after="120" w:before="220"/>
      </w:pPr>
      <w:r>
        <w:rPr>
          <w:b/>
          <w:bCs/>
          <w:color w:val="2E5FA3"/>
        </w:rPr>
        <w:t xml:space="preserve">Exemple complémentaire</w:t>
      </w:r>
    </w:p>
    <w:p>
      <w:pPr>
        <w:spacing w:after="160" w:before="0" w:line="276"/>
        <w:jc w:val="both"/>
      </w:pPr>
      <w:r>
        <w:rPr>
          <w:i/>
          <w:iCs/>
        </w:rPr>
        <w:t xml:space="preserve">Entraînement de reformulation.</w:t>
      </w:r>
      <w:r>
        <w:t xml:space="preserve"> Reprenez le mini-cas Running/Fitness de la question 2.1 et rédigez en cinq lignes un compte rendu au dirigeant, avec un message principal et une recommandation. Comparez avec un camarade : si vos messages principaux diffèrent, discutez du critère qui doit primer — c'est le meilleur exercice de préparation à cette question.</w:t>
      </w:r>
    </w:p>
    <w:p>
      <w:pPr>
        <w:pStyle w:val="Heading3"/>
        <w:spacing w:after="120" w:before="220"/>
      </w:pPr>
      <w:r>
        <w:rPr>
          <w:b/>
          <w:bCs/>
          <w:color w:val="2E5FA3"/>
        </w:rPr>
        <w:t xml:space="preserve">À retenir pour l'examen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t xml:space="preserve">Rendre compte = constat global → analyse par famille (3 indicateurs croisés) → alerte → conclusion.</w:t>
            </w:r>
          </w:p>
          <w:p>
            <w:pPr>
              <w:spacing w:after="80" w:before="0" w:line="264"/>
            </w:pPr>
            <w:r>
              <w:t xml:space="preserve">Toujours confronter part du CA et part de la marge : c'est là que naissent les diagnostics.</w:t>
            </w:r>
          </w:p>
          <w:p>
            <w:pPr>
              <w:spacing w:after="40" w:before="0" w:line="264"/>
            </w:pPr>
            <w:r>
              <w:t xml:space="preserve">Un compte rendu se hiérarchise : le fait saillant doit être inratable.</w:t>
            </w:r>
          </w:p>
        </w:tc>
      </w:tr>
    </w:tbl>
    <w:p>
      <w:pPr>
        <w:pStyle w:val="Heading2"/>
        <w:spacing w:after="180" w:before="280"/>
      </w:pPr>
      <w:r>
        <w:rPr>
          <w:b/>
          <w:bCs/>
          <w:color w:val="1F3864"/>
        </w:rPr>
        <w:t xml:space="preserve">Question 2.3 – Appréciez le niveau d'avancement des objectifs au 31 mars 2025</w:t>
      </w:r>
    </w:p>
    <w:p>
      <w:pPr>
        <w:pStyle w:val="Heading3"/>
        <w:spacing w:after="120" w:before="220"/>
      </w:pPr>
      <w:r>
        <w:rPr>
          <w:b/>
          <w:bCs/>
          <w:color w:val="2E5FA3"/>
        </w:rPr>
        <w:t xml:space="preserve">Ce que la question vous demande</w:t>
      </w:r>
    </w:p>
    <w:p>
      <w:pPr>
        <w:spacing w:after="160" w:before="0" w:line="276"/>
        <w:jc w:val="both"/>
      </w:pPr>
      <w:r>
        <w:t xml:space="preserve">Pascale Prunet s'est fixé des objectifs de CA ambitieux pour 2025 (annexe 4 : 136 740 € pour l'univers, détaillés par famille). Au 31 mars 2025, le réalisé est de 21 032 €. Il faut </w:t>
      </w:r>
      <w:r>
        <w:rPr>
          <w:b/>
          <w:bCs/>
        </w:rPr>
        <w:t xml:space="preserve">mesurer l'avancement</w:t>
      </w:r>
      <w:r>
        <w:t xml:space="preserve"> — mais l'énoncé insiste : « afin de poursuivre le développement de l'univers “cheval” </w:t>
      </w:r>
      <w:r>
        <w:rPr>
          <w:b/>
          <w:bCs/>
        </w:rPr>
        <w:t xml:space="preserve">dont l'activité est saisonnière</w:t>
      </w:r>
      <w:r>
        <w:t xml:space="preserve"> ». L'annexe 5 fournit les </w:t>
      </w:r>
      <w:r>
        <w:rPr>
          <w:b/>
          <w:bCs/>
        </w:rPr>
        <w:t xml:space="preserve">coefficients saisonniers trimestriels</w:t>
      </w:r>
      <w:r>
        <w:t xml:space="preserve"> (T1 : 0,60 ; T2 : 0,95 ; T3 : 1,30 ; T4 : 1,15). Le travail attendu :</w:t>
      </w:r>
    </w:p>
    <w:p>
      <w:pPr>
        <w:pStyle w:val="ListParagraph"/>
        <w:numPr>
          <w:ilvl w:val="0"/>
          <w:numId w:val="2"/>
        </w:numPr>
        <w:spacing w:after="80" w:line="264"/>
        <w:jc w:val="both"/>
      </w:pPr>
      <w:r>
        <w:t xml:space="preserve">déterminer l'</w:t>
      </w:r>
      <w:r>
        <w:rPr>
          <w:b/>
          <w:bCs/>
        </w:rPr>
        <w:t xml:space="preserve">objectif du 1er trimestre</w:t>
      </w:r>
      <w:r>
        <w:t xml:space="preserve"> en tenant compte de la saisonnalité (et non 25 % de l'objectif annuel !) ;</w:t>
      </w:r>
    </w:p>
    <w:p>
      <w:pPr>
        <w:pStyle w:val="ListParagraph"/>
        <w:numPr>
          <w:ilvl w:val="0"/>
          <w:numId w:val="2"/>
        </w:numPr>
        <w:spacing w:after="80" w:line="264"/>
        <w:jc w:val="both"/>
      </w:pPr>
      <w:r>
        <w:t xml:space="preserve">calculer le </w:t>
      </w:r>
      <w:r>
        <w:rPr>
          <w:b/>
          <w:bCs/>
        </w:rPr>
        <w:t xml:space="preserve">taux d'avancement</w:t>
      </w:r>
      <w:r>
        <w:t xml:space="preserve"> (réalisé / objectif T1) par famille et au total ;</w:t>
      </w:r>
    </w:p>
    <w:p>
      <w:pPr>
        <w:pStyle w:val="ListParagraph"/>
        <w:numPr>
          <w:ilvl w:val="0"/>
          <w:numId w:val="2"/>
        </w:numPr>
        <w:spacing w:after="80" w:line="264"/>
        <w:jc w:val="both"/>
      </w:pPr>
      <w:r>
        <w:rPr>
          <w:b/>
          <w:bCs/>
        </w:rPr>
        <w:t xml:space="preserve">apprécier</w:t>
      </w:r>
      <w:r>
        <w:t xml:space="preserve"> : qui est en avance, qui est en retard, et que faire.</w:t>
      </w:r>
    </w:p>
    <w:p>
      <w:pPr>
        <w:spacing w:after="160" w:before="0" w:line="276"/>
        <w:jc w:val="both"/>
      </w:pPr>
      <w:r>
        <w:t xml:space="preserve">Le piège central du sujet est ici : comparer 21 032 € à 25 % de 136 740 € (34 185 €) conduirait à conclure, à tort, que l'univers est très en retard (61,5 % de l'objectif trimestriel « naïf »). Or le T1 est structurellement le trimestre creux de l'équitation (coefficient 0,60) : la comparaison n'a de sens que corrigée de la saisonnalité.</w:t>
      </w:r>
    </w:p>
    <w:p>
      <w:pPr>
        <w:pStyle w:val="Heading3"/>
        <w:spacing w:after="120" w:before="220"/>
      </w:pPr>
      <w:r>
        <w:rPr>
          <w:b/>
          <w:bCs/>
          <w:color w:val="2E5FA3"/>
        </w:rPr>
        <w:t xml:space="preserve">Compétence et notion du référentiel mobilisées</w:t>
      </w:r>
    </w:p>
    <w:p>
      <w:pPr>
        <w:pStyle w:val="ListParagraph"/>
        <w:numPr>
          <w:ilvl w:val="0"/>
          <w:numId w:val="2"/>
        </w:numPr>
        <w:spacing w:after="80" w:line="264"/>
        <w:jc w:val="both"/>
      </w:pPr>
      <w:r>
        <w:rPr>
          <w:b/>
          <w:bCs/>
        </w:rPr>
        <w:t xml:space="preserve">Bloc 3 – « Prévoir et budgétiser l'activité »</w:t>
      </w:r>
      <w:r>
        <w:t xml:space="preserve"> (fixer des objectifs commerciaux) et </w:t>
      </w:r>
      <w:r>
        <w:rPr>
          <w:b/>
          <w:bCs/>
        </w:rPr>
        <w:t xml:space="preserve">« Analyser les performances »</w:t>
      </w:r>
      <w:r>
        <w:t xml:space="preserve"> (analyser un tableau de bord, proposer des mesures correctrices). Critère d'évaluation : « les objectifs fixés sont réalistes » et « les mesures correctrices sont cohérentes ».</w:t>
      </w:r>
    </w:p>
    <w:p>
      <w:pPr>
        <w:pStyle w:val="ListParagraph"/>
        <w:numPr>
          <w:ilvl w:val="0"/>
          <w:numId w:val="2"/>
        </w:numPr>
        <w:spacing w:after="80" w:line="264"/>
        <w:jc w:val="both"/>
      </w:pPr>
      <w:r>
        <w:rPr>
          <w:b/>
          <w:bCs/>
        </w:rPr>
        <w:t xml:space="preserve">Savoir associé : « Les méthodes de prévision des ventes »</w:t>
      </w:r>
      <w:r>
        <w:t xml:space="preserve">, dont les limites de savoirs citent explicitement « la saisonnalité de l'activité » et « l'analyse des séries chronologiques ».</w:t>
      </w:r>
    </w:p>
    <w:p>
      <w:pPr>
        <w:pStyle w:val="ListParagraph"/>
        <w:numPr>
          <w:ilvl w:val="0"/>
          <w:numId w:val="2"/>
        </w:numPr>
        <w:spacing w:after="80" w:line="264"/>
        <w:jc w:val="both"/>
      </w:pPr>
      <w:r>
        <w:rPr>
          <w:b/>
          <w:bCs/>
        </w:rPr>
        <w:t xml:space="preserve">Objectif professionnel</w:t>
      </w:r>
      <w:r>
        <w:t xml:space="preserve"> : le suivi budgétaire infra-annuel — comparer le réalisé au budget au bon rythme, pour réagir à temps.</w:t>
      </w:r>
    </w:p>
    <w:p>
      <w:pPr>
        <w:pStyle w:val="Heading3"/>
        <w:spacing w:after="120" w:before="220"/>
      </w:pPr>
      <w:r>
        <w:rPr>
          <w:b/>
          <w:bCs/>
          <w:color w:val="2E5FA3"/>
        </w:rPr>
        <w:t xml:space="preserve">Rappel de cours</w:t>
      </w:r>
    </w:p>
    <w:p>
      <w:pPr>
        <w:spacing w:after="160" w:before="0" w:line="276"/>
        <w:jc w:val="both"/>
      </w:pPr>
      <w:r>
        <w:rPr>
          <w:b/>
          <w:bCs/>
        </w:rPr>
        <w:t xml:space="preserve">Le coefficient saisonnier</w:t>
      </w:r>
      <w:r>
        <w:t xml:space="preserve"> mesure le poids relatif d'une période dans l'activité annuelle. Un coefficient de 0,60 au T1 signifie que ce trimestre réalise 60 % d'un trimestre « moyen ». La somme des quatre coefficients trimestriels vaut 4 (vérifiez-le : 0,60 + 0,95 + 1,30 + 1,15 = 4,00) : c'est la propriété qui permet de « mensualiser » ou « trimestrialiser » un objectif annuel.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rPr>
                <w:b/>
                <w:bCs/>
              </w:rPr>
              <w:t xml:space="preserve">Objectif d'un trimestre = Objectif annuel × (coefficient du trimestre / somme des coefficients)</w:t>
            </w:r>
          </w:p>
          <w:p>
            <w:pPr>
              <w:spacing w:after="80" w:before="0" w:line="264"/>
            </w:pPr>
            <w:r>
              <w:t xml:space="preserve">Ici : Objectif T1 = Objectif annuel × 0,60 / 4 = Objectif annuel × 0,15.</w:t>
            </w:r>
          </w:p>
          <w:p>
            <w:pPr>
              <w:spacing w:after="40" w:before="0" w:line="264"/>
            </w:pPr>
            <w:r>
              <w:t xml:space="preserve">Autrement dit, le T1 ne doit porter que 15 % de l'objectif annuel — et non 25 %.</w:t>
            </w:r>
          </w:p>
        </w:tc>
      </w:tr>
    </w:tbl>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rPr>
                <w:b/>
                <w:bCs/>
              </w:rPr>
              <w:t xml:space="preserve">Taux d'avancement (ou taux de réalisation) = CA réalisé / Objectif de la période × 100</w:t>
            </w:r>
          </w:p>
          <w:p>
            <w:pPr>
              <w:spacing w:after="40" w:before="0" w:line="264"/>
            </w:pPr>
            <w:r>
              <w:t xml:space="preserve">Supérieur à 100 % : objectif dépassé, la famille est en avance. Inférieur à 100 % : retard à analyser (effet volume ? prix ? concurrence ?).</w:t>
            </w:r>
          </w:p>
        </w:tc>
      </w:tr>
    </w:tbl>
    <w:p>
      <w:pPr>
        <w:spacing w:after="100"/>
      </w:pPr>
    </w:p>
    <w:p>
      <w:pPr>
        <w:spacing w:after="160" w:before="0" w:line="276"/>
        <w:jc w:val="both"/>
      </w:pPr>
      <w:r>
        <w:rPr>
          <w:b/>
          <w:bCs/>
        </w:rPr>
        <w:t xml:space="preserve">Ne confondez pas</w:t>
      </w:r>
      <w:r>
        <w:t xml:space="preserve"> : le coefficient saisonnier corrige le </w:t>
      </w:r>
      <w:r>
        <w:rPr>
          <w:b/>
          <w:bCs/>
        </w:rPr>
        <w:t xml:space="preserve">calendrier</w:t>
      </w:r>
      <w:r>
        <w:t xml:space="preserve"> de l'objectif ; il ne juge pas la performance. La performance se lit ensuite, dans le rapport réalisé/objectif corrigé. Deux opérations distinctes, dans cet ordre.</w:t>
      </w:r>
    </w:p>
    <w:p>
      <w:pPr>
        <w:pStyle w:val="Heading3"/>
        <w:spacing w:after="120" w:before="220"/>
      </w:pPr>
      <w:r>
        <w:rPr>
          <w:b/>
          <w:bCs/>
          <w:color w:val="2E5FA3"/>
        </w:rPr>
        <w:t xml:space="preserve">Méthode à appliquer</w:t>
      </w:r>
    </w:p>
    <w:p>
      <w:pPr>
        <w:pStyle w:val="ListParagraph"/>
        <w:numPr>
          <w:ilvl w:val="0"/>
          <w:numId w:val="2"/>
        </w:numPr>
        <w:spacing w:after="80" w:line="264"/>
        <w:jc w:val="both"/>
      </w:pPr>
      <w:r>
        <w:rPr>
          <w:b/>
          <w:bCs/>
        </w:rPr>
        <w:t xml:space="preserve">Étape 1</w:t>
      </w:r>
      <w:r>
        <w:t xml:space="preserve"> – Vérifier la somme des coefficients (= 4) et en déduire la quote-part du T1 : 0,60 / 4 = 15 %.</w:t>
      </w:r>
    </w:p>
    <w:p>
      <w:pPr>
        <w:pStyle w:val="ListParagraph"/>
        <w:numPr>
          <w:ilvl w:val="0"/>
          <w:numId w:val="2"/>
        </w:numPr>
        <w:spacing w:after="80" w:line="264"/>
        <w:jc w:val="both"/>
      </w:pPr>
      <w:r>
        <w:rPr>
          <w:b/>
          <w:bCs/>
        </w:rPr>
        <w:t xml:space="preserve">Étape 2</w:t>
      </w:r>
      <w:r>
        <w:t xml:space="preserve"> – Calculer l'objectif T1 de chaque famille : objectif annuel × 0,15.</w:t>
      </w:r>
    </w:p>
    <w:p>
      <w:pPr>
        <w:pStyle w:val="ListParagraph"/>
        <w:numPr>
          <w:ilvl w:val="0"/>
          <w:numId w:val="2"/>
        </w:numPr>
        <w:spacing w:after="80" w:line="264"/>
        <w:jc w:val="both"/>
      </w:pPr>
      <w:r>
        <w:rPr>
          <w:b/>
          <w:bCs/>
        </w:rPr>
        <w:t xml:space="preserve">Étape 3</w:t>
      </w:r>
      <w:r>
        <w:t xml:space="preserve"> – Calculer le taux d'avancement : réalisé au 31/03 / objectif T1 × 100.</w:t>
      </w:r>
    </w:p>
    <w:p>
      <w:pPr>
        <w:pStyle w:val="ListParagraph"/>
        <w:numPr>
          <w:ilvl w:val="0"/>
          <w:numId w:val="2"/>
        </w:numPr>
        <w:spacing w:after="80" w:line="264"/>
        <w:jc w:val="both"/>
      </w:pPr>
      <w:r>
        <w:rPr>
          <w:b/>
          <w:bCs/>
        </w:rPr>
        <w:t xml:space="preserve">Étape 4</w:t>
      </w:r>
      <w:r>
        <w:t xml:space="preserve"> – Vérifier la cohérence : le total doit se recouper (20 511 € d'objectif T1 pour 136 740 × 0,15).</w:t>
      </w:r>
    </w:p>
    <w:p>
      <w:pPr>
        <w:pStyle w:val="ListParagraph"/>
        <w:numPr>
          <w:ilvl w:val="0"/>
          <w:numId w:val="2"/>
        </w:numPr>
        <w:spacing w:after="80" w:line="264"/>
        <w:jc w:val="both"/>
      </w:pPr>
      <w:r>
        <w:rPr>
          <w:b/>
          <w:bCs/>
        </w:rPr>
        <w:t xml:space="preserve">Étape 5</w:t>
      </w:r>
      <w:r>
        <w:t xml:space="preserve"> – Interpréter famille par famille et globalement ; proposer une orientation corrective pour les familles en retard.</w:t>
      </w:r>
    </w:p>
    <w:p>
      <w:pPr>
        <w:pStyle w:val="Heading3"/>
        <w:spacing w:after="120" w:before="220"/>
      </w:pPr>
      <w:r>
        <w:rPr>
          <w:b/>
          <w:bCs/>
          <w:color w:val="2E5FA3"/>
        </w:rPr>
        <w:t xml:space="preserve">Correction détaillée</w:t>
      </w:r>
    </w:p>
    <w:p>
      <w:pPr>
        <w:spacing w:after="160" w:before="0" w:line="276"/>
        <w:jc w:val="both"/>
      </w:pPr>
      <w:r>
        <w:rPr>
          <w:b/>
          <w:bCs/>
        </w:rPr>
        <w:t xml:space="preserve">Suivi des objectifs de l'univers « cheval » au 31/03/2025</w:t>
      </w:r>
      <w:r>
        <w:t xml:space="preserve"> (montants en € HT)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1900"/>
        <w:gridCol w:w="2300"/>
        <w:gridCol w:w="1800"/>
        <w:gridCol w:w="1460"/>
      </w:tblGrid>
      <w:tr>
        <w:trPr>
          <w:tblHeader/>
        </w:trPr>
        <w:tc>
          <w:tcPr>
            <w:tcW w:type="dxa" w:w="19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left"/>
            </w:pPr>
            <w:r>
              <w:rPr>
                <w:b/>
                <w:bCs/>
                <w:color w:val="FFFFFF"/>
                <w:sz w:val="20"/>
                <w:szCs w:val="20"/>
              </w:rPr>
              <w:t xml:space="preserve">Famille</w:t>
            </w:r>
          </w:p>
        </w:tc>
        <w:tc>
          <w:tcPr>
            <w:tcW w:type="dxa" w:w="19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Objectif annuel 2025</w:t>
            </w:r>
          </w:p>
        </w:tc>
        <w:tc>
          <w:tcPr>
            <w:tcW w:type="dxa" w:w="23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Objectif T1 (× 0,60/4 = 15 %)</w:t>
            </w:r>
          </w:p>
        </w:tc>
        <w:tc>
          <w:tcPr>
            <w:tcW w:type="dxa" w:w="18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CA réalisé au 31/03</w:t>
            </w:r>
          </w:p>
        </w:tc>
        <w:tc>
          <w:tcPr>
            <w:tcW w:type="dxa" w:w="146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Taux d'avancement</w:t>
            </w:r>
          </w:p>
        </w:tc>
      </w:tr>
      <w:tr>
        <w:tc>
          <w:tcPr>
            <w:tcW w:type="dxa" w:w="19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b w:val="false"/>
                <w:bCs w:val="false"/>
                <w:color w:val="000000"/>
                <w:sz w:val="20"/>
                <w:szCs w:val="20"/>
              </w:rPr>
              <w:t xml:space="preserve">Tapis de selle</w:t>
            </w:r>
          </w:p>
        </w:tc>
        <w:tc>
          <w:tcPr>
            <w:tcW w:type="dxa" w:w="19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44 853</w:t>
            </w:r>
          </w:p>
        </w:tc>
        <w:tc>
          <w:tcPr>
            <w:tcW w:type="dxa" w:w="23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6 727,95</w:t>
            </w:r>
          </w:p>
        </w:tc>
        <w:tc>
          <w:tcPr>
            <w:tcW w:type="dxa" w:w="18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7 085</w:t>
            </w:r>
          </w:p>
        </w:tc>
        <w:tc>
          <w:tcPr>
            <w:tcW w:type="dxa" w:w="146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105,3 %</w:t>
            </w:r>
          </w:p>
        </w:tc>
      </w:tr>
      <w:tr>
        <w:tc>
          <w:tcPr>
            <w:tcW w:type="dxa" w:w="19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b w:val="false"/>
                <w:bCs w:val="false"/>
                <w:color w:val="000000"/>
                <w:sz w:val="20"/>
                <w:szCs w:val="20"/>
              </w:rPr>
              <w:t xml:space="preserve">Couvertures</w:t>
            </w:r>
          </w:p>
        </w:tc>
        <w:tc>
          <w:tcPr>
            <w:tcW w:type="dxa" w:w="19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48 264</w:t>
            </w:r>
          </w:p>
        </w:tc>
        <w:tc>
          <w:tcPr>
            <w:tcW w:type="dxa" w:w="23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7 239,60</w:t>
            </w:r>
          </w:p>
        </w:tc>
        <w:tc>
          <w:tcPr>
            <w:tcW w:type="dxa" w:w="18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8 353</w:t>
            </w:r>
          </w:p>
        </w:tc>
        <w:tc>
          <w:tcPr>
            <w:tcW w:type="dxa" w:w="146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115,4 %</w:t>
            </w:r>
          </w:p>
        </w:tc>
      </w:tr>
      <w:tr>
        <w:tc>
          <w:tcPr>
            <w:tcW w:type="dxa" w:w="19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b w:val="false"/>
                <w:bCs w:val="false"/>
                <w:color w:val="000000"/>
                <w:sz w:val="20"/>
                <w:szCs w:val="20"/>
              </w:rPr>
              <w:t xml:space="preserve">Soins</w:t>
            </w:r>
          </w:p>
        </w:tc>
        <w:tc>
          <w:tcPr>
            <w:tcW w:type="dxa" w:w="19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32 755</w:t>
            </w:r>
          </w:p>
        </w:tc>
        <w:tc>
          <w:tcPr>
            <w:tcW w:type="dxa" w:w="23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4 913,25</w:t>
            </w:r>
          </w:p>
        </w:tc>
        <w:tc>
          <w:tcPr>
            <w:tcW w:type="dxa" w:w="18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3 683</w:t>
            </w:r>
          </w:p>
        </w:tc>
        <w:tc>
          <w:tcPr>
            <w:tcW w:type="dxa" w:w="146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75,0 %</w:t>
            </w:r>
          </w:p>
        </w:tc>
      </w:tr>
      <w:tr>
        <w:tc>
          <w:tcPr>
            <w:tcW w:type="dxa" w:w="19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b w:val="false"/>
                <w:bCs w:val="false"/>
                <w:color w:val="000000"/>
                <w:sz w:val="20"/>
                <w:szCs w:val="20"/>
              </w:rPr>
              <w:t xml:space="preserve">Accessoires</w:t>
            </w:r>
          </w:p>
        </w:tc>
        <w:tc>
          <w:tcPr>
            <w:tcW w:type="dxa" w:w="19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10 868</w:t>
            </w:r>
          </w:p>
        </w:tc>
        <w:tc>
          <w:tcPr>
            <w:tcW w:type="dxa" w:w="23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1 630,20</w:t>
            </w:r>
          </w:p>
        </w:tc>
        <w:tc>
          <w:tcPr>
            <w:tcW w:type="dxa" w:w="18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1 911</w:t>
            </w:r>
          </w:p>
        </w:tc>
        <w:tc>
          <w:tcPr>
            <w:tcW w:type="dxa" w:w="146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117,2 %</w:t>
            </w:r>
          </w:p>
        </w:tc>
      </w:tr>
      <w:tr>
        <w:tc>
          <w:tcPr>
            <w:tcW w:type="dxa" w:w="190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left"/>
            </w:pPr>
            <w:r>
              <w:rPr>
                <w:b/>
                <w:bCs/>
                <w:color w:val="000000"/>
                <w:sz w:val="20"/>
                <w:szCs w:val="20"/>
              </w:rPr>
              <w:t xml:space="preserve">TOTAL</w:t>
            </w:r>
          </w:p>
        </w:tc>
        <w:tc>
          <w:tcPr>
            <w:tcW w:type="dxa" w:w="190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center"/>
            </w:pPr>
            <w:r>
              <w:rPr>
                <w:b/>
                <w:bCs/>
                <w:color w:val="000000"/>
                <w:sz w:val="20"/>
                <w:szCs w:val="20"/>
              </w:rPr>
              <w:t xml:space="preserve">136 740</w:t>
            </w:r>
          </w:p>
        </w:tc>
        <w:tc>
          <w:tcPr>
            <w:tcW w:type="dxa" w:w="230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center"/>
            </w:pPr>
            <w:r>
              <w:rPr>
                <w:b/>
                <w:bCs/>
                <w:color w:val="000000"/>
                <w:sz w:val="20"/>
                <w:szCs w:val="20"/>
              </w:rPr>
              <w:t xml:space="preserve">20 511,00</w:t>
            </w:r>
          </w:p>
        </w:tc>
        <w:tc>
          <w:tcPr>
            <w:tcW w:type="dxa" w:w="180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center"/>
            </w:pPr>
            <w:r>
              <w:rPr>
                <w:b/>
                <w:bCs/>
                <w:color w:val="000000"/>
                <w:sz w:val="20"/>
                <w:szCs w:val="20"/>
              </w:rPr>
              <w:t xml:space="preserve">21 032</w:t>
            </w:r>
          </w:p>
        </w:tc>
        <w:tc>
          <w:tcPr>
            <w:tcW w:type="dxa" w:w="146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center"/>
            </w:pPr>
            <w:r>
              <w:rPr>
                <w:b/>
                <w:bCs/>
                <w:color w:val="000000"/>
                <w:sz w:val="20"/>
                <w:szCs w:val="20"/>
              </w:rPr>
              <w:t xml:space="preserve">102,5 %</w:t>
            </w:r>
          </w:p>
        </w:tc>
      </w:tr>
    </w:tbl>
    <w:p>
      <w:pPr>
        <w:spacing w:after="100"/>
      </w:pPr>
    </w:p>
    <w:p>
      <w:pPr>
        <w:spacing w:after="160" w:before="0" w:line="276"/>
        <w:jc w:val="both"/>
      </w:pPr>
      <w:r>
        <w:rPr>
          <w:b/>
          <w:bCs/>
        </w:rPr>
        <w:t xml:space="preserve">Exemple de calcul justifié</w:t>
      </w:r>
      <w:r>
        <w:t xml:space="preserve"> : Objectif T1 des couvertures = 48 264 × 0,60 / 4 = 48 264 × 0,15 = 7 239,60 € ; taux d'avancement = 8 353 / 7 239,60 = 115,4 %.</w:t>
      </w:r>
    </w:p>
    <w:p>
      <w:pPr>
        <w:pStyle w:val="Heading3"/>
        <w:spacing w:after="120" w:before="220"/>
      </w:pPr>
      <w:r>
        <w:rPr>
          <w:b/>
          <w:bCs/>
          <w:color w:val="2E5FA3"/>
        </w:rPr>
        <w:t xml:space="preserve">Interprétation du résultat</w:t>
      </w:r>
    </w:p>
    <w:p>
      <w:pPr>
        <w:pStyle w:val="ListParagraph"/>
        <w:numPr>
          <w:ilvl w:val="0"/>
          <w:numId w:val="2"/>
        </w:numPr>
        <w:spacing w:after="80" w:line="264"/>
        <w:jc w:val="both"/>
      </w:pPr>
      <w:r>
        <w:rPr>
          <w:b/>
          <w:bCs/>
        </w:rPr>
        <w:t xml:space="preserve">Globalement, l'objectif du 1er trimestre est atteint et même dépassé</w:t>
      </w:r>
      <w:r>
        <w:t xml:space="preserve"> : 102,5 %. Malgré un trimestre structurellement creux, l'univers a réalisé 21 032 € pour 20 511 € attendus. Le rythme est compatible avec l'objectif annuel ambitieux de 136 740 € (qui suppose + 30 % par rapport au CA 2024 de 105 184 € : l'ambition est réelle).</w:t>
      </w:r>
    </w:p>
    <w:p>
      <w:pPr>
        <w:pStyle w:val="ListParagraph"/>
        <w:numPr>
          <w:ilvl w:val="0"/>
          <w:numId w:val="2"/>
        </w:numPr>
        <w:spacing w:after="80" w:line="264"/>
        <w:jc w:val="both"/>
      </w:pPr>
      <w:r>
        <w:rPr>
          <w:b/>
          <w:bCs/>
        </w:rPr>
        <w:t xml:space="preserve">Trois familles sur quatre sont en avance</w:t>
      </w:r>
      <w:r>
        <w:t xml:space="preserve"> : accessoires (117,2 %) et couvertures (115,4 %) surperforment nettement ; les tapis de selle sont dans la cible (105,3 %).</w:t>
      </w:r>
    </w:p>
    <w:p>
      <w:pPr>
        <w:pStyle w:val="ListParagraph"/>
        <w:numPr>
          <w:ilvl w:val="0"/>
          <w:numId w:val="2"/>
        </w:numPr>
        <w:spacing w:after="80" w:line="264"/>
        <w:jc w:val="both"/>
      </w:pPr>
      <w:r>
        <w:rPr>
          <w:b/>
          <w:bCs/>
        </w:rPr>
        <w:t xml:space="preserve">La famille « soins » est très en retard : 75 % de son objectif trimestriel</w:t>
      </w:r>
      <w:r>
        <w:t xml:space="preserve">, soit un manque à gagner d'environ 1 230 € sur le seul T1. Ce constat confirme le diagnostic 2024 (question 2.2) : la faiblesse des soins est structurelle, pas conjoncturelle. Causes probables : offre dispersée entre trop de fournisseurs, prix peu compétitifs, assortiment mal maîtrisé. Décisions à envisager : c'est précisément l'objet du dossier 3 (concentration des achats, opération promotionnelle sur les stocks HKM).</w:t>
      </w:r>
    </w:p>
    <w:p>
      <w:pPr>
        <w:pStyle w:val="ListParagraph"/>
        <w:numPr>
          <w:ilvl w:val="0"/>
          <w:numId w:val="2"/>
        </w:numPr>
        <w:spacing w:after="80" w:line="264"/>
        <w:jc w:val="both"/>
      </w:pPr>
      <w:r>
        <w:rPr>
          <w:b/>
          <w:bCs/>
        </w:rPr>
        <w:t xml:space="preserve">Sans correction de saisonnalité, le diagnostic aurait été inversé</w:t>
      </w:r>
      <w:r>
        <w:t xml:space="preserve"> : 21 032 / 34 185 = 61,5 %, conclusion alarmiste et fausse. Signalez ce point dans votre copie : il prouve que vous avez compris pourquoi l'annexe 5 existe.</w:t>
      </w:r>
    </w:p>
    <w:p>
      <w:pPr>
        <w:pStyle w:val="Heading3"/>
        <w:spacing w:after="120" w:before="220"/>
      </w:pPr>
      <w:r>
        <w:rPr>
          <w:b/>
          <w:bCs/>
          <w:color w:val="2E5FA3"/>
        </w:rPr>
        <w:t xml:space="preserve">Réponse rédigée attendue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D32" w:sz="6"/>
              <w:left w:val="single" w:color="2E7D32" w:sz="24"/>
              <w:bottom w:val="single" w:color="2E7D32" w:sz="6"/>
              <w:right w:val="single" w:color="2E7D32" w:sz="6"/>
            </w:tcBorders>
            <w:shd w:fill="F2F6FB" w:val="clear"/>
            <w:tcMar>
              <w:top w:type="dxa" w:w="120"/>
              <w:left w:type="dxa" w:w="200"/>
              <w:bottom w:type="dxa" w:w="120"/>
              <w:right w:type="dxa" w:w="200"/>
            </w:tcMar>
          </w:tcPr>
          <w:p>
            <w:pPr>
              <w:spacing w:after="80" w:before="40" w:line="264"/>
            </w:pPr>
            <w:r>
              <w:t xml:space="preserve">L'activité étant saisonnière, l'objectif annuel ne peut pas être réparti uniformément : le 1er trimestre, dont le coefficient saisonnier est de 0,60 pour une somme de coefficients de 4, ne doit porter que 0,60/4 = 15 % de l'objectif annuel, soit 20 511 € pour l'univers.</w:t>
            </w:r>
          </w:p>
          <w:p>
            <w:pPr>
              <w:spacing w:after="80" w:before="0" w:line="264"/>
            </w:pPr>
            <w:r>
              <w:t xml:space="preserve">Au 31/03/2025, le CA réalisé (21 032 €) représente 102,5 % de cet objectif trimestriel : l'univers « cheval » est en avance sur sa feuille de route, malgré un objectif annuel ambitieux. Les accessoires (117,2 %), les couvertures (115,4 %) et les tapis de selle (105,3 %) dépassent leurs objectifs.</w:t>
            </w:r>
          </w:p>
          <w:p>
            <w:pPr>
              <w:spacing w:after="40" w:before="0" w:line="264"/>
            </w:pPr>
            <w:r>
              <w:rPr>
                <w:b/>
                <w:bCs/>
              </w:rPr>
              <w:t xml:space="preserve">Seule la famille « soins » est en retard, avec 75,0 % de son objectif de trimestre (3 683 € réalisés pour 4 913,25 € attendus). Ce retard, cohérent avec la sous-performance constatée en 2024, appelle des mesures correctrices rapides : rationalisation des approvisionnements et dynamisation commerciale de la famille — objet du dossier 3.</w:t>
            </w:r>
          </w:p>
        </w:tc>
      </w:tr>
    </w:tbl>
    <w:p>
      <w:pPr>
        <w:pStyle w:val="Heading3"/>
        <w:spacing w:after="120" w:before="220"/>
      </w:pPr>
      <w:r>
        <w:rPr>
          <w:b/>
          <w:bCs/>
          <w:color w:val="2E5FA3"/>
        </w:rPr>
        <w:t xml:space="preserve">Conseils du correcteur</w:t>
      </w:r>
    </w:p>
    <w:p>
      <w:pPr>
        <w:pStyle w:val="ListParagraph"/>
        <w:numPr>
          <w:ilvl w:val="0"/>
          <w:numId w:val="2"/>
        </w:numPr>
        <w:spacing w:after="80" w:line="264"/>
        <w:jc w:val="both"/>
      </w:pPr>
      <w:r>
        <w:rPr>
          <w:b/>
          <w:bCs/>
        </w:rPr>
        <w:t xml:space="preserve">La quote-part 0,60/4 = 15 % est LE point du barème.</w:t>
      </w:r>
      <w:r>
        <w:t xml:space="preserve"> Écrivez la somme des coefficients (4,00) et la division : c'est la preuve de méthode.</w:t>
      </w:r>
    </w:p>
    <w:p>
      <w:pPr>
        <w:pStyle w:val="ListParagraph"/>
        <w:numPr>
          <w:ilvl w:val="0"/>
          <w:numId w:val="2"/>
        </w:numPr>
        <w:spacing w:after="80" w:line="264"/>
        <w:jc w:val="both"/>
      </w:pPr>
      <w:r>
        <w:t xml:space="preserve">Ne vous contentez pas du taux global : l'énoncé dit « des objectifs » au pluriel — le correcteur attend le </w:t>
      </w:r>
      <w:r>
        <w:rPr>
          <w:b/>
          <w:bCs/>
        </w:rPr>
        <w:t xml:space="preserve">détail par famille</w:t>
      </w:r>
      <w:r>
        <w:t xml:space="preserve">.</w:t>
      </w:r>
    </w:p>
    <w:p>
      <w:pPr>
        <w:pStyle w:val="ListParagraph"/>
        <w:numPr>
          <w:ilvl w:val="0"/>
          <w:numId w:val="2"/>
        </w:numPr>
        <w:spacing w:after="80" w:line="264"/>
        <w:jc w:val="both"/>
      </w:pPr>
      <w:r>
        <w:t xml:space="preserve">Le mot « appréciez » appelle un </w:t>
      </w:r>
      <w:r>
        <w:rPr>
          <w:b/>
          <w:bCs/>
        </w:rPr>
        <w:t xml:space="preserve">jugement</w:t>
      </w:r>
      <w:r>
        <w:t xml:space="preserve"> : en avance / dans la cible / en retard, avec un seuil implicite à 100 %.</w:t>
      </w:r>
    </w:p>
    <w:p>
      <w:pPr>
        <w:pStyle w:val="ListParagraph"/>
        <w:numPr>
          <w:ilvl w:val="0"/>
          <w:numId w:val="2"/>
        </w:numPr>
        <w:spacing w:after="80" w:line="264"/>
        <w:jc w:val="both"/>
      </w:pPr>
      <w:r>
        <w:t xml:space="preserve">Faites le </w:t>
      </w:r>
      <w:r>
        <w:rPr>
          <w:b/>
          <w:bCs/>
        </w:rPr>
        <w:t xml:space="preserve">lien avec la question 2.2</w:t>
      </w:r>
      <w:r>
        <w:t xml:space="preserve"> (les soins étaient déjà le point faible) et </w:t>
      </w:r>
      <w:r>
        <w:rPr>
          <w:b/>
          <w:bCs/>
        </w:rPr>
        <w:t xml:space="preserve">annoncez le dossier 3</w:t>
      </w:r>
      <w:r>
        <w:t xml:space="preserve"> : cette mise en cohérence est très valorisée.</w:t>
      </w:r>
    </w:p>
    <w:p>
      <w:pPr>
        <w:pStyle w:val="ListParagraph"/>
        <w:numPr>
          <w:ilvl w:val="0"/>
          <w:numId w:val="2"/>
        </w:numPr>
        <w:spacing w:after="80" w:line="264"/>
        <w:jc w:val="both"/>
      </w:pPr>
      <w:r>
        <w:t xml:space="preserve">Temps conseillé : </w:t>
      </w:r>
      <w:r>
        <w:rPr>
          <w:b/>
          <w:bCs/>
        </w:rPr>
        <w:t xml:space="preserve">15 minutes</w:t>
      </w:r>
      <w:r>
        <w:t xml:space="preserve">.</w:t>
      </w:r>
    </w:p>
    <w:p>
      <w:pPr>
        <w:pBdr>
          <w:left w:val="single" w:color="2E5FA3" w:sz="18" w:space="8"/>
        </w:pBdr>
        <w:spacing w:after="160" w:before="60" w:line="276"/>
        <w:ind w:left="360"/>
      </w:pPr>
      <w:r>
        <w:rPr>
          <w:i/>
          <w:iCs/>
          <w:color w:val="2E5FA3"/>
        </w:rPr>
        <w:t xml:space="preserve">Le correcteur ne vous demande pas seulement de calculer des taux d'avancement : il attend que vous expliquiez ce que ces taux signifient pour le pilotage — qui est en avance, qui décroche, et quelle décision cela prépare. Un taux sans verdict, c'est une réponse à moitié.</w:t>
      </w:r>
    </w:p>
    <w:p>
      <w:pPr>
        <w:pStyle w:val="Heading3"/>
        <w:spacing w:after="120" w:before="220"/>
      </w:pPr>
      <w:r>
        <w:rPr>
          <w:b/>
          <w:bCs/>
          <w:color w:val="2E5FA3"/>
        </w:rPr>
        <w:t xml:space="preserve">Les erreurs fréquentes à éviter</w:t>
      </w:r>
    </w:p>
    <w:p>
      <w:pPr>
        <w:pStyle w:val="ListParagraph"/>
        <w:numPr>
          <w:ilvl w:val="0"/>
          <w:numId w:val="2"/>
        </w:numPr>
        <w:spacing w:after="80" w:line="264"/>
        <w:jc w:val="both"/>
      </w:pPr>
      <w:r>
        <w:rPr>
          <w:b/>
          <w:bCs/>
        </w:rPr>
        <w:t xml:space="preserve">Comparer le réalisé à 25 % de l'objectif annuel</w:t>
      </w:r>
      <w:r>
        <w:t xml:space="preserve"> : c'est l'erreur que le sujet tend ; elle inverse le diagnostic.</w:t>
      </w:r>
    </w:p>
    <w:p>
      <w:pPr>
        <w:pStyle w:val="ListParagraph"/>
        <w:numPr>
          <w:ilvl w:val="0"/>
          <w:numId w:val="2"/>
        </w:numPr>
        <w:spacing w:after="80" w:line="264"/>
        <w:jc w:val="both"/>
      </w:pPr>
      <w:r>
        <w:rPr>
          <w:b/>
          <w:bCs/>
        </w:rPr>
        <w:t xml:space="preserve">Multiplier l'objectif annuel par 0,60</w:t>
      </w:r>
      <w:r>
        <w:t xml:space="preserve"> (au lieu de 0,60/4) : vous obtenez 60 % de l'objectif annuel pour un seul trimestre — ordre de grandeur absurde, qui devrait vous alerter.</w:t>
      </w:r>
    </w:p>
    <w:p>
      <w:pPr>
        <w:pStyle w:val="ListParagraph"/>
        <w:numPr>
          <w:ilvl w:val="0"/>
          <w:numId w:val="2"/>
        </w:numPr>
        <w:spacing w:after="80" w:line="264"/>
        <w:jc w:val="both"/>
      </w:pPr>
      <w:r>
        <w:rPr>
          <w:b/>
          <w:bCs/>
        </w:rPr>
        <w:t xml:space="preserve">Oublier de vérifier la somme des coefficients</w:t>
      </w:r>
      <w:r>
        <w:t xml:space="preserve"> : si elle valait autre chose que 4, la formule s'adapterait (coefficient / somme).</w:t>
      </w:r>
    </w:p>
    <w:p>
      <w:pPr>
        <w:pStyle w:val="ListParagraph"/>
        <w:numPr>
          <w:ilvl w:val="0"/>
          <w:numId w:val="2"/>
        </w:numPr>
        <w:spacing w:after="80" w:line="264"/>
        <w:jc w:val="both"/>
      </w:pPr>
      <w:r>
        <w:rPr>
          <w:b/>
          <w:bCs/>
        </w:rPr>
        <w:t xml:space="preserve">Arrondir trop tôt</w:t>
      </w:r>
      <w:r>
        <w:t xml:space="preserve"> (objectif T1 arrondi à la centaine) puis calculer des taux faux de plusieurs points.</w:t>
      </w:r>
    </w:p>
    <w:p>
      <w:pPr>
        <w:pStyle w:val="ListParagraph"/>
        <w:numPr>
          <w:ilvl w:val="0"/>
          <w:numId w:val="2"/>
        </w:numPr>
        <w:spacing w:after="80" w:line="264"/>
        <w:jc w:val="both"/>
      </w:pPr>
      <w:r>
        <w:rPr>
          <w:b/>
          <w:bCs/>
        </w:rPr>
        <w:t xml:space="preserve">Conclure « l'objectif est atteint » sans repérer la famille soins</w:t>
      </w:r>
      <w:r>
        <w:t xml:space="preserve"> : l'appréciation doit être différenciée.</w:t>
      </w:r>
    </w:p>
    <w:p>
      <w:pPr>
        <w:pStyle w:val="Heading3"/>
        <w:spacing w:after="120" w:before="220"/>
      </w:pPr>
      <w:r>
        <w:rPr>
          <w:b/>
          <w:bCs/>
          <w:color w:val="2E5FA3"/>
        </w:rPr>
        <w:t xml:space="preserve">Exemple complémentaire</w:t>
      </w:r>
    </w:p>
    <w:p>
      <w:pPr>
        <w:spacing w:after="160" w:before="0" w:line="276"/>
        <w:jc w:val="both"/>
      </w:pPr>
      <w:r>
        <w:rPr>
          <w:i/>
          <w:iCs/>
        </w:rPr>
        <w:t xml:space="preserve">Mini-cas.</w:t>
      </w:r>
      <w:r>
        <w:t xml:space="preserve"> Une jardinerie a un objectif annuel de 400 000 € et des coefficients saisonniers T1 : 0,8 ; T2 : 1,7 ; T3 : 0,7 ; T4 : 0,8 (somme = 4). Au 30 juin, elle a réalisé 240 000 €. Avancement ? </w:t>
      </w:r>
      <w:r>
        <w:rPr>
          <w:i/>
          <w:iCs/>
        </w:rPr>
        <w:t xml:space="preserve">Corrigé</w:t>
      </w:r>
      <w:r>
        <w:t xml:space="preserve"> : objectif S1 = 400 000 × (0,8 + 1,7)/4 = 250 000 € ; avancement = 240 000 / 250 000 = 96 % → léger retard, alors que la comparaison naïve (240 000 / 200 000 = 120 %) aurait conclu à une large avance. La saisonnalité peut jouer dans les deux sens : trimestre creux comme trimestre fort.</w:t>
      </w:r>
    </w:p>
    <w:p>
      <w:pPr>
        <w:pStyle w:val="Heading3"/>
        <w:spacing w:after="120" w:before="220"/>
      </w:pPr>
      <w:r>
        <w:rPr>
          <w:b/>
          <w:bCs/>
          <w:color w:val="2E5FA3"/>
        </w:rPr>
        <w:t xml:space="preserve">À retenir pour l'examen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t xml:space="preserve">Objectif d'une période = objectif annuel × (coefficient de la période / somme des coefficients).</w:t>
            </w:r>
          </w:p>
          <w:p>
            <w:pPr>
              <w:spacing w:after="80" w:before="0" w:line="264"/>
            </w:pPr>
            <w:r>
              <w:t xml:space="preserve">Somme des coefficients trimestriels = 4 (mensuels = 12) : toujours la vérifier.</w:t>
            </w:r>
          </w:p>
          <w:p>
            <w:pPr>
              <w:spacing w:after="80" w:before="0" w:line="264"/>
            </w:pPr>
            <w:r>
              <w:t xml:space="preserve">Taux d'avancement = réalisé / objectif de période ; le seuil de lecture est 100 %.</w:t>
            </w:r>
          </w:p>
          <w:p>
            <w:pPr>
              <w:spacing w:after="40" w:before="0" w:line="264"/>
            </w:pPr>
            <w:r>
              <w:t xml:space="preserve">Une appréciation d'avancement est différenciée (par famille) et débouche sur des mesures correctrices.</w:t>
            </w:r>
          </w:p>
        </w:tc>
      </w:tr>
    </w:tbl>
    <w:p>
      <w:pPr>
        <w:pStyle w:val="Heading2"/>
        <w:spacing w:after="180" w:before="280"/>
      </w:pPr>
      <w:r>
        <w:rPr>
          <w:b/>
          <w:bCs/>
          <w:color w:val="1F3864"/>
        </w:rPr>
        <w:t xml:space="preserve">Synthèse du dossier 2</w:t>
      </w:r>
    </w:p>
    <w:p>
      <w:pPr>
        <w:pStyle w:val="Heading3"/>
        <w:spacing w:after="120" w:before="220"/>
      </w:pPr>
      <w:r>
        <w:rPr>
          <w:b/>
          <w:bCs/>
          <w:color w:val="2E5FA3"/>
        </w:rPr>
        <w:t xml:space="preserve">Les notions essentielles à retenir</w:t>
      </w:r>
    </w:p>
    <w:p>
      <w:pPr>
        <w:pStyle w:val="ListParagraph"/>
        <w:numPr>
          <w:ilvl w:val="0"/>
          <w:numId w:val="2"/>
        </w:numPr>
        <w:spacing w:after="80" w:line="264"/>
        <w:jc w:val="both"/>
      </w:pPr>
      <w:r>
        <w:t xml:space="preserve">Le tableau de bord : conception (indicateurs pertinents et calculables), lecture croisée, reporting.</w:t>
      </w:r>
    </w:p>
    <w:p>
      <w:pPr>
        <w:pStyle w:val="ListParagraph"/>
        <w:numPr>
          <w:ilvl w:val="0"/>
          <w:numId w:val="2"/>
        </w:numPr>
        <w:spacing w:after="80" w:line="264"/>
        <w:jc w:val="both"/>
      </w:pPr>
      <w:r>
        <w:t xml:space="preserve">Les indicateurs de performance commerciale : taux d'évolution, structure du CA, marge et taux de marge.</w:t>
      </w:r>
    </w:p>
    <w:p>
      <w:pPr>
        <w:pStyle w:val="ListParagraph"/>
        <w:numPr>
          <w:ilvl w:val="0"/>
          <w:numId w:val="2"/>
        </w:numPr>
        <w:spacing w:after="80" w:line="264"/>
        <w:jc w:val="both"/>
      </w:pPr>
      <w:r>
        <w:t xml:space="preserve">La saisonnalité : coefficients saisonniers et répartition infra-annuelle des objectifs ; taux d'avancement.</w:t>
      </w:r>
    </w:p>
    <w:p>
      <w:pPr>
        <w:pStyle w:val="Heading3"/>
        <w:spacing w:after="120" w:before="220"/>
      </w:pPr>
      <w:r>
        <w:rPr>
          <w:b/>
          <w:bCs/>
          <w:color w:val="2E5FA3"/>
        </w:rPr>
        <w:t xml:space="preserve">Les formules à connaître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t xml:space="preserve">Taux d'évolution = (VA − VD) / VD × 100</w:t>
            </w:r>
          </w:p>
          <w:p>
            <w:pPr>
              <w:spacing w:after="80" w:before="0" w:line="264"/>
            </w:pPr>
            <w:r>
              <w:t xml:space="preserve">Part d'une famille = CA famille / CA total × 100</w:t>
            </w:r>
          </w:p>
          <w:p>
            <w:pPr>
              <w:spacing w:after="80" w:before="0" w:line="264"/>
            </w:pPr>
            <w:r>
              <w:t xml:space="preserve">Taux de marge sur CA = Marge / CA HT × 100</w:t>
            </w:r>
          </w:p>
          <w:p>
            <w:pPr>
              <w:spacing w:after="80" w:before="0" w:line="264"/>
            </w:pPr>
            <w:r>
              <w:t xml:space="preserve">Objectif de période = Objectif annuel × coefficient / somme des coefficients</w:t>
            </w:r>
          </w:p>
          <w:p>
            <w:pPr>
              <w:spacing w:after="40" w:before="0" w:line="264"/>
            </w:pPr>
            <w:r>
              <w:t xml:space="preserve">Taux d'avancement = Réalisé / Objectif de période × 100</w:t>
            </w:r>
          </w:p>
        </w:tc>
      </w:tr>
    </w:tbl>
    <w:p>
      <w:pPr>
        <w:pStyle w:val="Heading3"/>
        <w:spacing w:after="120" w:before="220"/>
      </w:pPr>
      <w:r>
        <w:rPr>
          <w:b/>
          <w:bCs/>
          <w:color w:val="2E5FA3"/>
        </w:rPr>
        <w:t xml:space="preserve">Les réflexes à adopter le jour de l'examen</w:t>
      </w:r>
    </w:p>
    <w:p>
      <w:pPr>
        <w:pStyle w:val="ListParagraph"/>
        <w:numPr>
          <w:ilvl w:val="0"/>
          <w:numId w:val="2"/>
        </w:numPr>
        <w:spacing w:after="80" w:line="264"/>
        <w:jc w:val="both"/>
      </w:pPr>
      <w:r>
        <w:t xml:space="preserve">Vérifier que la somme des parts fait 100 % et la somme des coefficients 4 ; toujours corriger un objectif de la saisonnalité avant de juger un réalisé ; croiser CA et marge avant de qualifier une famille ; hiérarchiser le compte rendu autour du fait saillant.</w:t>
      </w:r>
    </w:p>
    <w:p>
      <w:pPr>
        <w:pStyle w:val="Heading3"/>
        <w:spacing w:after="120" w:before="220"/>
      </w:pPr>
      <w:r>
        <w:rPr>
          <w:b/>
          <w:bCs/>
          <w:color w:val="2E5FA3"/>
        </w:rPr>
        <w:t xml:space="preserve">Questions d'entraînement</w:t>
      </w:r>
    </w:p>
    <w:p>
      <w:pPr>
        <w:pStyle w:val="ListParagraph"/>
        <w:numPr>
          <w:ilvl w:val="0"/>
          <w:numId w:val="2"/>
        </w:numPr>
        <w:spacing w:after="80" w:line="264"/>
        <w:jc w:val="both"/>
      </w:pPr>
      <w:r>
        <w:t xml:space="preserve">Calculez la part de chaque famille dans la marge totale 2024 et comparez-la à sa part dans le CA : que révèle l'écart pour les couvertures et pour les soins ?</w:t>
      </w:r>
    </w:p>
    <w:p>
      <w:pPr>
        <w:pStyle w:val="ListParagraph"/>
        <w:numPr>
          <w:ilvl w:val="0"/>
          <w:numId w:val="2"/>
        </w:numPr>
        <w:spacing w:after="80" w:line="264"/>
        <w:jc w:val="both"/>
      </w:pPr>
      <w:r>
        <w:t xml:space="preserve">Quel CA l'univers « cheval » doit-il réaliser au T2 2025 pour rester dans la trajectoire de l'objectif annuel ? (Réponse : 136 740 × 0,95/4 = 32 475,75 €.)</w:t>
      </w:r>
    </w:p>
    <w:p>
      <w:pPr>
        <w:pStyle w:val="ListParagraph"/>
        <w:numPr>
          <w:ilvl w:val="0"/>
          <w:numId w:val="2"/>
        </w:numPr>
        <w:spacing w:after="80" w:line="264"/>
        <w:jc w:val="both"/>
      </w:pPr>
      <w:r>
        <w:t xml:space="preserve">L'objectif 2025 (136 740 €) représente quelle progression par rapport au CA 2024 ? Cette ambition vous paraît-elle réaliste au vu du T1 ?</w:t>
      </w:r>
    </w:p>
    <w:p>
      <w:pPr>
        <w:pStyle w:val="Heading1"/>
        <w:spacing w:after="240" w:before="240"/>
      </w:pPr>
      <w:r>
        <w:br w:type="page"/>
      </w:r>
      <w:r>
        <w:rPr>
          <w:b/>
          <w:bCs/>
          <w:color w:val="1F3864"/>
        </w:rPr>
        <w:t xml:space="preserve">DOSSIER 3 – Gestion de l'offre de la famille « soins »</w:t>
      </w:r>
    </w:p>
    <w:p>
      <w:pPr>
        <w:spacing w:after="160" w:before="0" w:line="276"/>
        <w:jc w:val="both"/>
      </w:pPr>
      <w:r>
        <w:rPr>
          <w:b/>
          <w:bCs/>
        </w:rPr>
        <w:t xml:space="preserve">Contexte du dossier.</w:t>
      </w:r>
      <w:r>
        <w:t xml:space="preserve"> La gestion des commandes et des stocks de la famille « soins » est fastidieuse et le grand nombre de fournisseurs aggrave les </w:t>
      </w:r>
      <w:r>
        <w:rPr>
          <w:b/>
          <w:bCs/>
        </w:rPr>
        <w:t xml:space="preserve">difficultés de trésorerie</w:t>
      </w:r>
      <w:r>
        <w:t xml:space="preserve"> du point de vente. Trois travaux : sélectionner un fournisseur unique pour la commande de mai 2025 (3.1) ; fixer des prix promotionnels pour écouler les stocks du fournisseur HKM, dont le contrat n'est pas renouvelé (3.2) ; comparer cette promotion à l'offre d'un grossiste qui reprendrait tout le stock à 70 % de sa valeur de vente HT (3.3). </w:t>
      </w:r>
      <w:r>
        <w:rPr>
          <w:b/>
          <w:bCs/>
        </w:rPr>
        <w:t xml:space="preserve">Annexes mobilisées : 6 à 9.</w:t>
      </w:r>
      <w:r>
        <w:t xml:space="preserve"> Ce dossier est la suite logique des dossiers 1 et 2 : la famille « soins » sous-performe (dossier 2) et la trésorerie est tendue (dossier 1) — les décisions demandées visent à corriger ces deux faiblesses.</w:t>
      </w:r>
    </w:p>
    <w:p>
      <w:pPr>
        <w:pStyle w:val="Heading2"/>
        <w:spacing w:after="180" w:before="280"/>
      </w:pPr>
      <w:r>
        <w:rPr>
          <w:b/>
          <w:bCs/>
          <w:color w:val="1F3864"/>
        </w:rPr>
        <w:t xml:space="preserve">Question 3.1 – Sélectionnez le fournisseur pour la prochaine commande</w:t>
      </w:r>
    </w:p>
    <w:p>
      <w:pPr>
        <w:pStyle w:val="Heading3"/>
        <w:spacing w:after="120" w:before="220"/>
      </w:pPr>
      <w:r>
        <w:rPr>
          <w:b/>
          <w:bCs/>
          <w:color w:val="2E5FA3"/>
        </w:rPr>
        <w:t xml:space="preserve">Ce que la question vous demande</w:t>
      </w:r>
    </w:p>
    <w:p>
      <w:pPr>
        <w:spacing w:after="160" w:before="0" w:line="276"/>
        <w:jc w:val="both"/>
      </w:pPr>
      <w:r>
        <w:t xml:space="preserve">Vous devez </w:t>
      </w:r>
      <w:r>
        <w:rPr>
          <w:b/>
          <w:bCs/>
        </w:rPr>
        <w:t xml:space="preserve">comparer trois fournisseurs</w:t>
      </w:r>
      <w:r>
        <w:t xml:space="preserve"> pour une même commande de produits de soins et </w:t>
      </w:r>
      <w:r>
        <w:rPr>
          <w:b/>
          <w:bCs/>
        </w:rPr>
        <w:t xml:space="preserve">choisir</w:t>
      </w:r>
      <w:r>
        <w:t xml:space="preserve"> : Nacricare (devis complet en annexe 6), Hilton Herbs et Hoofgold (conditions relevées en annexe 7). C'est un exercice de </w:t>
      </w:r>
      <w:r>
        <w:rPr>
          <w:b/>
          <w:bCs/>
        </w:rPr>
        <w:t xml:space="preserve">sélection multicritère</w:t>
      </w:r>
      <w:r>
        <w:t xml:space="preserve"> : le prix ne suffit pas. Les critères disponibles dans les annexes :</w:t>
      </w:r>
    </w:p>
    <w:p>
      <w:pPr>
        <w:pStyle w:val="ListParagraph"/>
        <w:numPr>
          <w:ilvl w:val="0"/>
          <w:numId w:val="2"/>
        </w:numPr>
        <w:spacing w:after="80" w:line="264"/>
        <w:jc w:val="both"/>
      </w:pPr>
      <w:r>
        <w:t xml:space="preserve">le </w:t>
      </w:r>
      <w:r>
        <w:rPr>
          <w:b/>
          <w:bCs/>
        </w:rPr>
        <w:t xml:space="preserve">net commercial HT</w:t>
      </w:r>
      <w:r>
        <w:t xml:space="preserve"> (prix après remise) ;</w:t>
      </w:r>
    </w:p>
    <w:p>
      <w:pPr>
        <w:pStyle w:val="ListParagraph"/>
        <w:numPr>
          <w:ilvl w:val="0"/>
          <w:numId w:val="2"/>
        </w:numPr>
        <w:spacing w:after="80" w:line="264"/>
        <w:jc w:val="both"/>
      </w:pPr>
      <w:r>
        <w:t xml:space="preserve">les </w:t>
      </w:r>
      <w:r>
        <w:rPr>
          <w:b/>
          <w:bCs/>
        </w:rPr>
        <w:t xml:space="preserve">conditions de paiement</w:t>
      </w:r>
      <w:r>
        <w:t xml:space="preserve"> (délais, acompte, escompte) — critère décisif ici vu les difficultés de trésorerie ;</w:t>
      </w:r>
    </w:p>
    <w:p>
      <w:pPr>
        <w:pStyle w:val="ListParagraph"/>
        <w:numPr>
          <w:ilvl w:val="0"/>
          <w:numId w:val="2"/>
        </w:numPr>
        <w:spacing w:after="80" w:line="264"/>
        <w:jc w:val="both"/>
      </w:pPr>
      <w:r>
        <w:t xml:space="preserve">le </w:t>
      </w:r>
      <w:r>
        <w:rPr>
          <w:b/>
          <w:bCs/>
        </w:rPr>
        <w:t xml:space="preserve">délai de livraison</w:t>
      </w:r>
      <w:r>
        <w:t xml:space="preserve"> ;</w:t>
      </w:r>
    </w:p>
    <w:p>
      <w:pPr>
        <w:pStyle w:val="ListParagraph"/>
        <w:numPr>
          <w:ilvl w:val="0"/>
          <w:numId w:val="2"/>
        </w:numPr>
        <w:spacing w:after="80" w:line="264"/>
        <w:jc w:val="both"/>
      </w:pPr>
      <w:r>
        <w:t xml:space="preserve">le </w:t>
      </w:r>
      <w:r>
        <w:rPr>
          <w:b/>
          <w:bCs/>
        </w:rPr>
        <w:t xml:space="preserve">coefficient multiplicateur conseillé</w:t>
      </w:r>
      <w:r>
        <w:t xml:space="preserve">, qui conditionne le chiffre d'affaires et la marge potentiels.</w:t>
      </w:r>
    </w:p>
    <w:p>
      <w:pPr>
        <w:spacing w:after="160" w:before="0" w:line="276"/>
        <w:jc w:val="both"/>
      </w:pPr>
      <w:r>
        <w:t xml:space="preserve">Deux pièges : (1) pour Nacricare, il faut lire le devis et vérifier l'application de la remise de 5 % (accordée car la commande de 2 770 € dépasse 2 500 €) : le net commercial est de 2 631,50 € ; (2) le choix doit être </w:t>
      </w:r>
      <w:r>
        <w:rPr>
          <w:b/>
          <w:bCs/>
        </w:rPr>
        <w:t xml:space="preserve">contextualisé</w:t>
      </w:r>
      <w:r>
        <w:t xml:space="preserve"> — l'énoncé vous rappelle les difficultés de trésorerie : c'est une consigne déguisée.</w:t>
      </w:r>
    </w:p>
    <w:p>
      <w:pPr>
        <w:pStyle w:val="Heading3"/>
        <w:spacing w:after="120" w:before="220"/>
      </w:pPr>
      <w:r>
        <w:rPr>
          <w:b/>
          <w:bCs/>
          <w:color w:val="2E5FA3"/>
        </w:rPr>
        <w:t xml:space="preserve">Compétence et notion du référentiel mobilisées</w:t>
      </w:r>
    </w:p>
    <w:p>
      <w:pPr>
        <w:pStyle w:val="ListParagraph"/>
        <w:numPr>
          <w:ilvl w:val="0"/>
          <w:numId w:val="2"/>
        </w:numPr>
        <w:spacing w:after="80" w:line="264"/>
        <w:jc w:val="both"/>
      </w:pPr>
      <w:r>
        <w:rPr>
          <w:b/>
          <w:bCs/>
        </w:rPr>
        <w:t xml:space="preserve">Bloc 3 – « Gérer les opérations courantes »</w:t>
      </w:r>
      <w:r>
        <w:t xml:space="preserve"> : « garantir les approvisionnements ». Critère d'évaluation du référentiel : « les approvisionnements sont assurés et optimisés ».</w:t>
      </w:r>
    </w:p>
    <w:p>
      <w:pPr>
        <w:pStyle w:val="ListParagraph"/>
        <w:numPr>
          <w:ilvl w:val="0"/>
          <w:numId w:val="2"/>
        </w:numPr>
        <w:spacing w:after="80" w:line="264"/>
        <w:jc w:val="both"/>
      </w:pPr>
      <w:r>
        <w:rPr>
          <w:b/>
          <w:bCs/>
        </w:rPr>
        <w:t xml:space="preserve">Savoirs associés</w:t>
      </w:r>
      <w:r>
        <w:t xml:space="preserve"> : « les stocks et les approvisionnements » (la gestion des approvisionnements), « les documents commerciaux » (lecture d'un devis : remise, net commercial, TVA, conditions de paiement) et, côté bloc 2, « les relations producteurs/distributeurs » (les étapes et les critères de la sélection des fournisseurs).</w:t>
      </w:r>
    </w:p>
    <w:p>
      <w:pPr>
        <w:pStyle w:val="ListParagraph"/>
        <w:numPr>
          <w:ilvl w:val="0"/>
          <w:numId w:val="2"/>
        </w:numPr>
        <w:spacing w:after="80" w:line="264"/>
        <w:jc w:val="both"/>
      </w:pPr>
      <w:r>
        <w:rPr>
          <w:b/>
          <w:bCs/>
        </w:rPr>
        <w:t xml:space="preserve">Objectif professionnel</w:t>
      </w:r>
      <w:r>
        <w:t xml:space="preserve"> : la sélection de fournisseurs est une activité explicite du domaine « gestion opérationnelle » (« gestion des approvisionnements et suivi des achats »).</w:t>
      </w:r>
    </w:p>
    <w:p>
      <w:pPr>
        <w:pStyle w:val="Heading3"/>
        <w:spacing w:after="120" w:before="220"/>
      </w:pPr>
      <w:r>
        <w:rPr>
          <w:b/>
          <w:bCs/>
          <w:color w:val="2E5FA3"/>
        </w:rPr>
        <w:t xml:space="preserve">Rappel de cours</w:t>
      </w:r>
    </w:p>
    <w:p>
      <w:pPr>
        <w:spacing w:after="160" w:before="0" w:line="276"/>
        <w:jc w:val="both"/>
      </w:pPr>
      <w:r>
        <w:rPr>
          <w:b/>
          <w:bCs/>
        </w:rPr>
        <w:t xml:space="preserve">La chaîne de calcul d'un document commercial</w:t>
      </w:r>
      <w:r>
        <w:t xml:space="preserve"> doit être parfaitement maîtrisée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t xml:space="preserve">Total brut HT − Remise(s) = </w:t>
            </w:r>
            <w:r>
              <w:rPr>
                <w:b/>
                <w:bCs/>
              </w:rPr>
              <w:t xml:space="preserve">Net commercial HT</w:t>
            </w:r>
          </w:p>
          <w:p>
            <w:pPr>
              <w:spacing w:after="80" w:before="0" w:line="264"/>
            </w:pPr>
            <w:r>
              <w:t xml:space="preserve">Net commercial − Escompte (si paiement comptant) = Net financier</w:t>
            </w:r>
          </w:p>
          <w:p>
            <w:pPr>
              <w:spacing w:after="80" w:before="0" w:line="264"/>
            </w:pPr>
            <w:r>
              <w:t xml:space="preserve">Net financier + TVA (20 %) = </w:t>
            </w:r>
            <w:r>
              <w:rPr>
                <w:b/>
                <w:bCs/>
              </w:rPr>
              <w:t xml:space="preserve">Net à payer TTC</w:t>
            </w:r>
          </w:p>
          <w:p>
            <w:pPr>
              <w:spacing w:after="40" w:before="0" w:line="264"/>
            </w:pPr>
            <w:r>
              <w:t xml:space="preserve">La remise est commerciale (volume, promotion) ; l'escompte est financier (paiement anticipé). Ne les confondez pas : ils ne se calculent pas sur la même base et n'ont pas la même signification.</w:t>
            </w:r>
          </w:p>
        </w:tc>
      </w:tr>
    </w:tbl>
    <w:p>
      <w:pPr>
        <w:spacing w:after="100"/>
      </w:pPr>
    </w:p>
    <w:p>
      <w:pPr>
        <w:spacing w:after="160" w:before="0" w:line="276"/>
        <w:jc w:val="both"/>
      </w:pPr>
      <w:r>
        <w:rPr>
          <w:b/>
          <w:bCs/>
        </w:rPr>
        <w:t xml:space="preserve">Le coefficient multiplicateur</w:t>
      </w:r>
      <w:r>
        <w:t xml:space="preserve"> est l'outil de fixation rapide du prix de vente dans le commerce de détail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rPr>
                <w:b/>
                <w:bCs/>
              </w:rPr>
              <w:t xml:space="preserve">Coefficient multiplicateur = Prix de vente TTC / Prix d'achat HT</w:t>
            </w:r>
          </w:p>
          <w:p>
            <w:pPr>
              <w:spacing w:after="40" w:before="0" w:line="264"/>
            </w:pPr>
            <w:r>
              <w:t xml:space="preserve">Un coefficient de 2 signifie que le produit acheté 10 € HT est revendu 20 € TTC. Le coefficient intègre donc à la fois la marge ET la TVA : plus il est élevé, plus le potentiel de marge est grand, à prix d'achat égal. Vérification sur le cas : les produits HKM achetés 33,20 € HT sont vendus 66,90 € TTC (annexes 8 et 9), soit un coefficient de 2,015 ≈ 2 — la convention PV TTC / PA HT est bien celle du sujet.</w:t>
            </w:r>
          </w:p>
        </w:tc>
      </w:tr>
    </w:tbl>
    <w:p>
      <w:pPr>
        <w:spacing w:after="100"/>
      </w:pPr>
    </w:p>
    <w:p>
      <w:pPr>
        <w:spacing w:after="160" w:before="0" w:line="276"/>
        <w:jc w:val="both"/>
      </w:pPr>
      <w:r>
        <w:rPr>
          <w:b/>
          <w:bCs/>
        </w:rPr>
        <w:t xml:space="preserve">Les critères de sélection d'un fournisseur</w:t>
      </w:r>
      <w:r>
        <w:t xml:space="preserve"> se regroupent en quatre familles : critères </w:t>
      </w:r>
      <w:r>
        <w:rPr>
          <w:b/>
          <w:bCs/>
        </w:rPr>
        <w:t xml:space="preserve">économiques</w:t>
      </w:r>
      <w:r>
        <w:t xml:space="preserve"> (prix, remises, marge permise), </w:t>
      </w:r>
      <w:r>
        <w:rPr>
          <w:b/>
          <w:bCs/>
        </w:rPr>
        <w:t xml:space="preserve">financiers</w:t>
      </w:r>
      <w:r>
        <w:t xml:space="preserve"> (délais de paiement, acompte exigé, escompte — leur impact sur le BFR et la trésorerie est direct), </w:t>
      </w:r>
      <w:r>
        <w:rPr>
          <w:b/>
          <w:bCs/>
        </w:rPr>
        <w:t xml:space="preserve">logistiques</w:t>
      </w:r>
      <w:r>
        <w:t xml:space="preserve"> (délai et fiabilité de livraison) et </w:t>
      </w:r>
      <w:r>
        <w:rPr>
          <w:b/>
          <w:bCs/>
        </w:rPr>
        <w:t xml:space="preserve">qualitatifs</w:t>
      </w:r>
      <w:r>
        <w:t xml:space="preserve"> (qualité, notoriété, services). Une sélection professionnelle pondère ces critères selon la situation de l'entreprise : ici, la contrainte dominante est la trésorerie.</w:t>
      </w:r>
    </w:p>
    <w:p>
      <w:pPr>
        <w:spacing w:after="160" w:before="0" w:line="276"/>
        <w:jc w:val="both"/>
      </w:pPr>
      <w:r>
        <w:rPr>
          <w:b/>
          <w:bCs/>
        </w:rPr>
        <w:t xml:space="preserve">Lien de cours essentiel</w:t>
      </w:r>
      <w:r>
        <w:t xml:space="preserve"> : un délai de paiement fournisseur long </w:t>
      </w:r>
      <w:r>
        <w:rPr>
          <w:b/>
          <w:bCs/>
        </w:rPr>
        <w:t xml:space="preserve">finance le stock</w:t>
      </w:r>
      <w:r>
        <w:t xml:space="preserve">. Si le fournisseur livre en 3 jours et accorde 60 jours de délai, le point de vente dispose de près de deux mois pour revendre la marchandise </w:t>
      </w:r>
      <w:r>
        <w:rPr>
          <w:b/>
          <w:bCs/>
        </w:rPr>
        <w:t xml:space="preserve">avant</w:t>
      </w:r>
      <w:r>
        <w:t xml:space="preserve"> de la payer : le cycle d'exploitation s'autofinance partiellement, le BFR diminue, la trésorerie respire.</w:t>
      </w:r>
    </w:p>
    <w:p>
      <w:pPr>
        <w:pStyle w:val="Heading3"/>
        <w:spacing w:after="120" w:before="220"/>
      </w:pPr>
      <w:r>
        <w:rPr>
          <w:b/>
          <w:bCs/>
          <w:color w:val="2E5FA3"/>
        </w:rPr>
        <w:t xml:space="preserve">Méthode à appliquer</w:t>
      </w:r>
    </w:p>
    <w:p>
      <w:pPr>
        <w:pStyle w:val="ListParagraph"/>
        <w:numPr>
          <w:ilvl w:val="0"/>
          <w:numId w:val="2"/>
        </w:numPr>
        <w:spacing w:after="80" w:line="264"/>
        <w:jc w:val="both"/>
      </w:pPr>
      <w:r>
        <w:rPr>
          <w:b/>
          <w:bCs/>
        </w:rPr>
        <w:t xml:space="preserve">Étape 1</w:t>
      </w:r>
      <w:r>
        <w:t xml:space="preserve"> – Contrôler le devis Nacricare : total brut 2 770 € HT (vérifiez les 4 lignes : 1 250 + 240 + 640 + 640), remise 5 % justifiée (&gt; 2 500 €), net commercial 2 631,50 €, TVA 526,30 €, TTC 3 157,80 €.</w:t>
      </w:r>
    </w:p>
    <w:p>
      <w:pPr>
        <w:pStyle w:val="ListParagraph"/>
        <w:numPr>
          <w:ilvl w:val="0"/>
          <w:numId w:val="2"/>
        </w:numPr>
        <w:spacing w:after="80" w:line="264"/>
        <w:jc w:val="both"/>
      </w:pPr>
      <w:r>
        <w:rPr>
          <w:b/>
          <w:bCs/>
        </w:rPr>
        <w:t xml:space="preserve">Étape 2</w:t>
      </w:r>
      <w:r>
        <w:t xml:space="preserve"> – Construire un tableau comparatif des trois fournisseurs sur les quatre familles de critères.</w:t>
      </w:r>
    </w:p>
    <w:p>
      <w:pPr>
        <w:pStyle w:val="ListParagraph"/>
        <w:numPr>
          <w:ilvl w:val="0"/>
          <w:numId w:val="2"/>
        </w:numPr>
        <w:spacing w:after="80" w:line="264"/>
        <w:jc w:val="both"/>
      </w:pPr>
      <w:r>
        <w:rPr>
          <w:b/>
          <w:bCs/>
        </w:rPr>
        <w:t xml:space="preserve">Étape 3</w:t>
      </w:r>
      <w:r>
        <w:t xml:space="preserve"> – Chiffrer le potentiel commercial de chaque offre : CA TTC potentiel = net commercial × coefficient ; marge potentielle = CA HT potentiel − net commercial.</w:t>
      </w:r>
    </w:p>
    <w:p>
      <w:pPr>
        <w:pStyle w:val="ListParagraph"/>
        <w:numPr>
          <w:ilvl w:val="0"/>
          <w:numId w:val="2"/>
        </w:numPr>
        <w:spacing w:after="80" w:line="264"/>
        <w:jc w:val="both"/>
      </w:pPr>
      <w:r>
        <w:rPr>
          <w:b/>
          <w:bCs/>
        </w:rPr>
        <w:t xml:space="preserve">Étape 4</w:t>
      </w:r>
      <w:r>
        <w:t xml:space="preserve"> – Pondérer selon le contexte (trésorerie tendue → poids fort du critère financier).</w:t>
      </w:r>
    </w:p>
    <w:p>
      <w:pPr>
        <w:pStyle w:val="ListParagraph"/>
        <w:numPr>
          <w:ilvl w:val="0"/>
          <w:numId w:val="2"/>
        </w:numPr>
        <w:spacing w:after="80" w:line="264"/>
        <w:jc w:val="both"/>
      </w:pPr>
      <w:r>
        <w:rPr>
          <w:b/>
          <w:bCs/>
        </w:rPr>
        <w:t xml:space="preserve">Étape 5</w:t>
      </w:r>
      <w:r>
        <w:t xml:space="preserve"> – Choisir et justifier par au moins trois arguments chiffrés.</w:t>
      </w:r>
    </w:p>
    <w:p>
      <w:pPr>
        <w:pStyle w:val="Heading3"/>
        <w:spacing w:after="120" w:before="220"/>
      </w:pPr>
      <w:r>
        <w:rPr>
          <w:b/>
          <w:bCs/>
          <w:color w:val="2E5FA3"/>
        </w:rPr>
        <w:t xml:space="preserve">Correction détaillée</w:t>
      </w:r>
    </w:p>
    <w:p>
      <w:pPr>
        <w:spacing w:after="160" w:before="0" w:line="276"/>
        <w:jc w:val="both"/>
      </w:pPr>
      <w:r>
        <w:rPr>
          <w:b/>
          <w:bCs/>
        </w:rPr>
        <w:t xml:space="preserve">Tableau comparatif des trois fournisseurs (commande de mai 2025)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2200"/>
        <w:gridCol w:w="2530"/>
        <w:gridCol w:w="1930"/>
      </w:tblGrid>
      <w:tr>
        <w:trPr>
          <w:tblHeader/>
        </w:trPr>
        <w:tc>
          <w:tcPr>
            <w:tcW w:type="dxa" w:w="27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left"/>
            </w:pPr>
            <w:r>
              <w:rPr>
                <w:b/>
                <w:bCs/>
                <w:color w:val="FFFFFF"/>
                <w:sz w:val="20"/>
                <w:szCs w:val="20"/>
              </w:rPr>
              <w:t xml:space="preserve">Critère</w:t>
            </w:r>
          </w:p>
        </w:tc>
        <w:tc>
          <w:tcPr>
            <w:tcW w:type="dxa" w:w="22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Nacricare</w:t>
            </w:r>
          </w:p>
        </w:tc>
        <w:tc>
          <w:tcPr>
            <w:tcW w:type="dxa" w:w="253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Hilton Herbs</w:t>
            </w:r>
          </w:p>
        </w:tc>
        <w:tc>
          <w:tcPr>
            <w:tcW w:type="dxa" w:w="193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Hoofgold</w:t>
            </w:r>
          </w:p>
        </w:tc>
      </w:tr>
      <w:tr>
        <w:tc>
          <w:tcPr>
            <w:tcW w:type="dxa" w:w="27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Net commercial HT</w:t>
            </w:r>
          </w:p>
        </w:tc>
        <w:tc>
          <w:tcPr>
            <w:tcW w:type="dxa" w:w="22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2 631,50 € (2 770 − 5 %)</w:t>
            </w:r>
          </w:p>
        </w:tc>
        <w:tc>
          <w:tcPr>
            <w:tcW w:type="dxa" w:w="253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2 560,50 €</w:t>
            </w:r>
          </w:p>
        </w:tc>
        <w:tc>
          <w:tcPr>
            <w:tcW w:type="dxa" w:w="193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2 955,00 €</w:t>
            </w:r>
          </w:p>
        </w:tc>
      </w:tr>
      <w:tr>
        <w:tc>
          <w:tcPr>
            <w:tcW w:type="dxa" w:w="27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Conditions de paiement</w:t>
            </w:r>
          </w:p>
        </w:tc>
        <w:tc>
          <w:tcPr>
            <w:tcW w:type="dxa" w:w="22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60 jours après réception de facture</w:t>
            </w:r>
          </w:p>
        </w:tc>
        <w:tc>
          <w:tcPr>
            <w:tcW w:type="dxa" w:w="253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30 % à la commande, solde à 30 jours (escompte 3 % si comptant)</w:t>
            </w:r>
          </w:p>
        </w:tc>
        <w:tc>
          <w:tcPr>
            <w:tcW w:type="dxa" w:w="193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30 jours à réception de facture</w:t>
            </w:r>
          </w:p>
        </w:tc>
      </w:tr>
      <w:tr>
        <w:tc>
          <w:tcPr>
            <w:tcW w:type="dxa" w:w="27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Délai de livraison</w:t>
            </w:r>
          </w:p>
        </w:tc>
        <w:tc>
          <w:tcPr>
            <w:tcW w:type="dxa" w:w="22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3 jours</w:t>
            </w:r>
          </w:p>
        </w:tc>
        <w:tc>
          <w:tcPr>
            <w:tcW w:type="dxa" w:w="253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15 jours</w:t>
            </w:r>
          </w:p>
        </w:tc>
        <w:tc>
          <w:tcPr>
            <w:tcW w:type="dxa" w:w="193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5 jours</w:t>
            </w:r>
          </w:p>
        </w:tc>
      </w:tr>
      <w:tr>
        <w:tc>
          <w:tcPr>
            <w:tcW w:type="dxa" w:w="27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Coefficient conseillé</w:t>
            </w:r>
          </w:p>
        </w:tc>
        <w:tc>
          <w:tcPr>
            <w:tcW w:type="dxa" w:w="22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2</w:t>
            </w:r>
          </w:p>
        </w:tc>
        <w:tc>
          <w:tcPr>
            <w:tcW w:type="dxa" w:w="253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1,8</w:t>
            </w:r>
          </w:p>
        </w:tc>
        <w:tc>
          <w:tcPr>
            <w:tcW w:type="dxa" w:w="193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2</w:t>
            </w:r>
          </w:p>
        </w:tc>
      </w:tr>
      <w:tr>
        <w:tc>
          <w:tcPr>
            <w:tcW w:type="dxa" w:w="27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CA TTC potentiel (net × coef.)</w:t>
            </w:r>
          </w:p>
        </w:tc>
        <w:tc>
          <w:tcPr>
            <w:tcW w:type="dxa" w:w="22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5 263,00 €</w:t>
            </w:r>
          </w:p>
        </w:tc>
        <w:tc>
          <w:tcPr>
            <w:tcW w:type="dxa" w:w="253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4 608,90 €</w:t>
            </w:r>
          </w:p>
        </w:tc>
        <w:tc>
          <w:tcPr>
            <w:tcW w:type="dxa" w:w="193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5 910,00 €</w:t>
            </w:r>
          </w:p>
        </w:tc>
      </w:tr>
      <w:tr>
        <w:tc>
          <w:tcPr>
            <w:tcW w:type="dxa" w:w="27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CA HT potentiel (TTC / 1,2)</w:t>
            </w:r>
          </w:p>
        </w:tc>
        <w:tc>
          <w:tcPr>
            <w:tcW w:type="dxa" w:w="22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4 385,83 €</w:t>
            </w:r>
          </w:p>
        </w:tc>
        <w:tc>
          <w:tcPr>
            <w:tcW w:type="dxa" w:w="253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3 840,75 €</w:t>
            </w:r>
          </w:p>
        </w:tc>
        <w:tc>
          <w:tcPr>
            <w:tcW w:type="dxa" w:w="193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4 925,00 €</w:t>
            </w:r>
          </w:p>
        </w:tc>
      </w:tr>
      <w:tr>
        <w:tc>
          <w:tcPr>
            <w:tcW w:type="dxa" w:w="27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Marge potentielle (CA HT − net)</w:t>
            </w:r>
          </w:p>
        </w:tc>
        <w:tc>
          <w:tcPr>
            <w:tcW w:type="dxa" w:w="22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1 754,33 €</w:t>
            </w:r>
          </w:p>
        </w:tc>
        <w:tc>
          <w:tcPr>
            <w:tcW w:type="dxa" w:w="253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1 280,25 €</w:t>
            </w:r>
          </w:p>
        </w:tc>
        <w:tc>
          <w:tcPr>
            <w:tcW w:type="dxa" w:w="193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1 970,00 €</w:t>
            </w:r>
          </w:p>
        </w:tc>
      </w:tr>
    </w:tbl>
    <w:p>
      <w:pPr>
        <w:spacing w:after="100"/>
      </w:pPr>
    </w:p>
    <w:p>
      <w:pPr>
        <w:spacing w:after="160" w:before="0" w:line="276"/>
        <w:jc w:val="both"/>
      </w:pPr>
      <w:r>
        <w:rPr>
          <w:b/>
          <w:bCs/>
        </w:rPr>
        <w:t xml:space="preserve">Lecture critère par critère :</w:t>
      </w:r>
    </w:p>
    <w:p>
      <w:pPr>
        <w:pStyle w:val="ListParagraph"/>
        <w:numPr>
          <w:ilvl w:val="0"/>
          <w:numId w:val="2"/>
        </w:numPr>
        <w:spacing w:after="80" w:line="264"/>
        <w:jc w:val="both"/>
      </w:pPr>
      <w:r>
        <w:rPr>
          <w:b/>
          <w:bCs/>
        </w:rPr>
        <w:t xml:space="preserve">Prix</w:t>
      </w:r>
      <w:r>
        <w:t xml:space="preserve"> : Hilton Herbs est le moins cher (2 560,50 €), Nacricare est 71 € plus cher, Hoofgold nettement plus cher (+ 394,50 € vs Hilton).</w:t>
      </w:r>
    </w:p>
    <w:p>
      <w:pPr>
        <w:pStyle w:val="ListParagraph"/>
        <w:numPr>
          <w:ilvl w:val="0"/>
          <w:numId w:val="2"/>
        </w:numPr>
        <w:spacing w:after="80" w:line="264"/>
        <w:jc w:val="both"/>
      </w:pPr>
      <w:r>
        <w:rPr>
          <w:b/>
          <w:bCs/>
        </w:rPr>
        <w:t xml:space="preserve">Trésorerie</w:t>
      </w:r>
      <w:r>
        <w:t xml:space="preserve"> : Nacricare écrase la comparaison — 60 jours de délai et livraison en 3 jours signifient que la sellerie disposera d'environ 57 jours pour vendre les produits avant de les payer. À l'opposé, Hilton exige 30 % à la commande (768,15 € décaissés immédiatement, alors que la trésorerie nette est de 310 € !) et livre en 15 jours : la marchandise est payée en partie avant même d'être en rayon. L'escompte de 3 % (76,82 €) supposerait un paiement comptant total : inenvisageable ici.</w:t>
      </w:r>
    </w:p>
    <w:p>
      <w:pPr>
        <w:pStyle w:val="ListParagraph"/>
        <w:numPr>
          <w:ilvl w:val="0"/>
          <w:numId w:val="2"/>
        </w:numPr>
        <w:spacing w:after="80" w:line="264"/>
        <w:jc w:val="both"/>
      </w:pPr>
      <w:r>
        <w:rPr>
          <w:b/>
          <w:bCs/>
        </w:rPr>
        <w:t xml:space="preserve">Logistique</w:t>
      </w:r>
      <w:r>
        <w:t xml:space="preserve"> : Nacricare (3 jours) et Hoofgold (5 jours) sont réactifs ; 15 jours chez Hilton est pénalisant pour une famille en retard sur ses objectifs (cf. 2.3).</w:t>
      </w:r>
    </w:p>
    <w:p>
      <w:pPr>
        <w:pStyle w:val="ListParagraph"/>
        <w:numPr>
          <w:ilvl w:val="0"/>
          <w:numId w:val="2"/>
        </w:numPr>
        <w:spacing w:after="80" w:line="264"/>
        <w:jc w:val="both"/>
      </w:pPr>
      <w:r>
        <w:rPr>
          <w:b/>
          <w:bCs/>
        </w:rPr>
        <w:t xml:space="preserve">Potentiel de marge</w:t>
      </w:r>
      <w:r>
        <w:t xml:space="preserve"> : Hoofgold offre la marge potentielle la plus élevée en valeur (1 970 €) mais au prix d'un décaissement supérieur ; Nacricare est un très bon compromis (1 754,33 €) ; Hilton, malgré son prix d'achat bas, est plombé par son coefficient de 1,8 (1 280,25 € de marge potentielle seulement).</w:t>
      </w:r>
    </w:p>
    <w:p>
      <w:pPr>
        <w:pStyle w:val="Heading3"/>
        <w:spacing w:after="120" w:before="220"/>
      </w:pPr>
      <w:r>
        <w:rPr>
          <w:b/>
          <w:bCs/>
          <w:color w:val="2E5FA3"/>
        </w:rPr>
        <w:t xml:space="preserve">Interprétation du résultat</w:t>
      </w:r>
    </w:p>
    <w:p>
      <w:pPr>
        <w:spacing w:after="160" w:before="0" w:line="276"/>
        <w:jc w:val="both"/>
      </w:pPr>
      <w:r>
        <w:t xml:space="preserve">Aucun fournisseur ne domine sur tous les critères — c'est voulu. La hiérarchie dépend de la pondération, et le contexte l'impose : </w:t>
      </w:r>
      <w:r>
        <w:rPr>
          <w:b/>
          <w:bCs/>
        </w:rPr>
        <w:t xml:space="preserve">la contrainte de trésorerie est explicitement rappelée par l'énoncé</w:t>
      </w:r>
      <w:r>
        <w:t xml:space="preserve">. Sous cette contrainte, Nacricare s'impose : ses conditions de paiement transforment le cycle d'exploitation (le stock est potentiellement vendu avant d'être payé), sa livraison est la plus rapide, son potentiel de marge est le deuxième et son prix reste compétitif (à 2,8 % de Hilton). Hoofgold serait le choix d'une entreprise riche en trésorerie cherchant la marge maximale ; Hilton, celui d'un acheteur ne regardant que le prix facial — les deux profils ne correspondent pas à Equi'Dam.</w:t>
      </w:r>
    </w:p>
    <w:p>
      <w:pPr>
        <w:pStyle w:val="Heading3"/>
        <w:spacing w:after="120" w:before="220"/>
      </w:pPr>
      <w:r>
        <w:rPr>
          <w:b/>
          <w:bCs/>
          <w:color w:val="2E5FA3"/>
        </w:rPr>
        <w:t xml:space="preserve">Réponse rédigée attendue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D32" w:sz="6"/>
              <w:left w:val="single" w:color="2E7D32" w:sz="24"/>
              <w:bottom w:val="single" w:color="2E7D32" w:sz="6"/>
              <w:right w:val="single" w:color="2E7D32" w:sz="6"/>
            </w:tcBorders>
            <w:shd w:fill="F2F6FB" w:val="clear"/>
            <w:tcMar>
              <w:top w:type="dxa" w:w="120"/>
              <w:left w:type="dxa" w:w="200"/>
              <w:bottom w:type="dxa" w:w="120"/>
              <w:right w:type="dxa" w:w="200"/>
            </w:tcMar>
          </w:tcPr>
          <w:p>
            <w:pPr>
              <w:spacing w:after="80" w:before="40" w:line="264"/>
            </w:pPr>
            <w:r>
              <w:t xml:space="preserve">Après vérification du devis Nacricare (total brut 2 770 € HT, remise de 5 % acquise car la commande dépasse 2 500 €, soit un net commercial de 2 631,50 € et un net à payer de 3 157,80 € TTC), je recommande de </w:t>
            </w:r>
            <w:r>
              <w:rPr>
                <w:b/>
                <w:bCs/>
              </w:rPr>
              <w:t xml:space="preserve">retenir le fournisseur Nacricare</w:t>
            </w:r>
            <w:r>
              <w:t xml:space="preserve">, pour quatre raisons :</w:t>
            </w:r>
          </w:p>
          <w:p>
            <w:pPr>
              <w:spacing w:after="80" w:before="0" w:line="264"/>
            </w:pPr>
            <w:r>
              <w:t xml:space="preserve">1. </w:t>
            </w:r>
            <w:r>
              <w:rPr>
                <w:b/>
                <w:bCs/>
              </w:rPr>
              <w:t xml:space="preserve">Ses conditions de paiement sont les plus favorables à la trésorerie</w:t>
            </w:r>
            <w:r>
              <w:t xml:space="preserve"> : règlement à 60 jours, sans acompte, alors que Hilton Herbs exige 30 % à la commande (768,15 €) — insupportable avec une trésorerie nette de 310 €. Combiné à une livraison en 3 jours, ce délai permet de vendre une grande partie de la commande avant de la payer.</w:t>
            </w:r>
          </w:p>
          <w:p>
            <w:pPr>
              <w:spacing w:after="80" w:before="0" w:line="264"/>
            </w:pPr>
            <w:r>
              <w:t xml:space="preserve">2. </w:t>
            </w:r>
            <w:r>
              <w:rPr>
                <w:b/>
                <w:bCs/>
              </w:rPr>
              <w:t xml:space="preserve">Son délai de livraison (3 jours) est le plus court</w:t>
            </w:r>
            <w:r>
              <w:t xml:space="preserve">, utile pour redynamiser rapidement une famille en retard sur ses objectifs.</w:t>
            </w:r>
          </w:p>
          <w:p>
            <w:pPr>
              <w:spacing w:after="80" w:before="0" w:line="264"/>
            </w:pPr>
            <w:r>
              <w:t xml:space="preserve">3. </w:t>
            </w:r>
            <w:r>
              <w:rPr>
                <w:b/>
                <w:bCs/>
              </w:rPr>
              <w:t xml:space="preserve">Son potentiel de marge est solide</w:t>
            </w:r>
            <w:r>
              <w:t xml:space="preserve"> : avec un coefficient de 2, la commande représente un CA potentiel de 5 263 € TTC (4 385,83 € HT), soit une marge potentielle de 1 754,33 € — supérieure de 474 € à celle de Hilton Herbs (coefficient 1,8).</w:t>
            </w:r>
          </w:p>
          <w:p>
            <w:pPr>
              <w:spacing w:after="80" w:before="0" w:line="264"/>
            </w:pPr>
            <w:r>
              <w:t xml:space="preserve">4. </w:t>
            </w:r>
            <w:r>
              <w:rPr>
                <w:b/>
                <w:bCs/>
              </w:rPr>
              <w:t xml:space="preserve">Son prix reste compétitif</w:t>
            </w:r>
            <w:r>
              <w:t xml:space="preserve"> : 2 631,50 €, seulement 71 € au-dessus du moins-disant, et 323,50 € en dessous de Hoofgold.</w:t>
            </w:r>
          </w:p>
          <w:p>
            <w:pPr>
              <w:spacing w:after="40" w:before="0" w:line="264"/>
            </w:pPr>
            <w:r>
              <w:rPr>
                <w:b/>
                <w:bCs/>
              </w:rPr>
              <w:t xml:space="preserve">Conclusion : Nacricare optimise le couple trésorerie/marge, ce qui répond exactement aux difficultés actuelles du point de vente.</w:t>
            </w:r>
          </w:p>
        </w:tc>
      </w:tr>
    </w:tbl>
    <w:p>
      <w:pPr>
        <w:pStyle w:val="Heading3"/>
        <w:spacing w:after="120" w:before="220"/>
      </w:pPr>
      <w:r>
        <w:rPr>
          <w:b/>
          <w:bCs/>
          <w:color w:val="2E5FA3"/>
        </w:rPr>
        <w:t xml:space="preserve">Conseils du correcteur</w:t>
      </w:r>
    </w:p>
    <w:p>
      <w:pPr>
        <w:pStyle w:val="ListParagraph"/>
        <w:numPr>
          <w:ilvl w:val="0"/>
          <w:numId w:val="2"/>
        </w:numPr>
        <w:spacing w:after="80" w:line="264"/>
        <w:jc w:val="both"/>
      </w:pPr>
      <w:r>
        <w:rPr>
          <w:b/>
          <w:bCs/>
        </w:rPr>
        <w:t xml:space="preserve">Un tableau comparatif est quasi obligatoire</w:t>
      </w:r>
      <w:r>
        <w:t xml:space="preserve"> : trois fournisseurs × quatre critères ne se comparent pas en prose.</w:t>
      </w:r>
    </w:p>
    <w:p>
      <w:pPr>
        <w:pStyle w:val="ListParagraph"/>
        <w:numPr>
          <w:ilvl w:val="0"/>
          <w:numId w:val="2"/>
        </w:numPr>
        <w:spacing w:after="80" w:line="264"/>
        <w:jc w:val="both"/>
      </w:pPr>
      <w:r>
        <w:rPr>
          <w:b/>
          <w:bCs/>
        </w:rPr>
        <w:t xml:space="preserve">Vérifiez le devis Nacricare</w:t>
      </w:r>
      <w:r>
        <w:t xml:space="preserve"> (remise justifiée, totaux) : le sujet fournit un document commercial complet, il attend que vous montriez que vous savez le lire.</w:t>
      </w:r>
    </w:p>
    <w:p>
      <w:pPr>
        <w:pStyle w:val="ListParagraph"/>
        <w:numPr>
          <w:ilvl w:val="0"/>
          <w:numId w:val="2"/>
        </w:numPr>
        <w:spacing w:after="80" w:line="264"/>
        <w:jc w:val="both"/>
      </w:pPr>
      <w:r>
        <w:t xml:space="preserve">Le correcteur accepte un choix argumenté différent (Hoofgold pour la marge, par exemple) </w:t>
      </w:r>
      <w:r>
        <w:rPr>
          <w:b/>
          <w:bCs/>
        </w:rPr>
        <w:t xml:space="preserve">si la pondération est justifiée</w:t>
      </w:r>
      <w:r>
        <w:t xml:space="preserve">, mais le contexte de trésorerie oriente clairement vers Nacricare : ne pas mentionner la trésorerie serait une faute d'analyse.</w:t>
      </w:r>
    </w:p>
    <w:p>
      <w:pPr>
        <w:pStyle w:val="ListParagraph"/>
        <w:numPr>
          <w:ilvl w:val="0"/>
          <w:numId w:val="2"/>
        </w:numPr>
        <w:spacing w:after="80" w:line="264"/>
        <w:jc w:val="both"/>
      </w:pPr>
      <w:r>
        <w:t xml:space="preserve">Convention du coefficient : précisez votre formule (PV TTC / PA HT). Si une copie raisonne en HT de bout en bout avec une formule explicite, la cohérence est valorisée — mais les données HKM (annexes 8 et 9) confirment la convention TTC/HT : autant l'adopter.</w:t>
      </w:r>
    </w:p>
    <w:p>
      <w:pPr>
        <w:pStyle w:val="ListParagraph"/>
        <w:numPr>
          <w:ilvl w:val="0"/>
          <w:numId w:val="2"/>
        </w:numPr>
        <w:spacing w:after="80" w:line="264"/>
        <w:jc w:val="both"/>
      </w:pPr>
      <w:r>
        <w:t xml:space="preserve">Temps conseillé : </w:t>
      </w:r>
      <w:r>
        <w:rPr>
          <w:b/>
          <w:bCs/>
        </w:rPr>
        <w:t xml:space="preserve">20 à 25 minutes</w:t>
      </w:r>
      <w:r>
        <w:t xml:space="preserve">.</w:t>
      </w:r>
    </w:p>
    <w:p>
      <w:pPr>
        <w:pBdr>
          <w:left w:val="single" w:color="2E5FA3" w:sz="18" w:space="8"/>
        </w:pBdr>
        <w:spacing w:after="160" w:before="60" w:line="276"/>
        <w:ind w:left="360"/>
      </w:pPr>
      <w:r>
        <w:rPr>
          <w:i/>
          <w:iCs/>
          <w:color w:val="2E5FA3"/>
        </w:rPr>
        <w:t xml:space="preserve">« Sélectionnez » signifie : décidez et assumez. La pire copie est celle qui décrit trois fournisseurs et laisse Pascale Prunet choisir. Vous êtes payé — pardon, noté — pour trancher.</w:t>
      </w:r>
    </w:p>
    <w:p>
      <w:pPr>
        <w:pStyle w:val="Heading3"/>
        <w:spacing w:after="120" w:before="220"/>
      </w:pPr>
      <w:r>
        <w:rPr>
          <w:b/>
          <w:bCs/>
          <w:color w:val="2E5FA3"/>
        </w:rPr>
        <w:t xml:space="preserve">Les erreurs fréquentes à éviter</w:t>
      </w:r>
    </w:p>
    <w:p>
      <w:pPr>
        <w:pStyle w:val="ListParagraph"/>
        <w:numPr>
          <w:ilvl w:val="0"/>
          <w:numId w:val="2"/>
        </w:numPr>
        <w:spacing w:after="80" w:line="264"/>
        <w:jc w:val="both"/>
      </w:pPr>
      <w:r>
        <w:rPr>
          <w:b/>
          <w:bCs/>
        </w:rPr>
        <w:t xml:space="preserve">Comparer les prix sans vérifier la remise Nacricare</w:t>
      </w:r>
      <w:r>
        <w:t xml:space="preserve"> (comparer 2 770 € au lieu de 2 631,50 €).</w:t>
      </w:r>
    </w:p>
    <w:p>
      <w:pPr>
        <w:pStyle w:val="ListParagraph"/>
        <w:numPr>
          <w:ilvl w:val="0"/>
          <w:numId w:val="2"/>
        </w:numPr>
        <w:spacing w:after="80" w:line="264"/>
        <w:jc w:val="both"/>
      </w:pPr>
      <w:r>
        <w:rPr>
          <w:b/>
          <w:bCs/>
        </w:rPr>
        <w:t xml:space="preserve">Choisir sur le seul prix</w:t>
      </w:r>
      <w:r>
        <w:t xml:space="preserve"> (Hilton) en ignorant l'acompte de 30 %, le délai de 15 jours et le coefficient de 1,8.</w:t>
      </w:r>
    </w:p>
    <w:p>
      <w:pPr>
        <w:pStyle w:val="ListParagraph"/>
        <w:numPr>
          <w:ilvl w:val="0"/>
          <w:numId w:val="2"/>
        </w:numPr>
        <w:spacing w:after="80" w:line="264"/>
        <w:jc w:val="both"/>
      </w:pPr>
      <w:r>
        <w:rPr>
          <w:b/>
          <w:bCs/>
        </w:rPr>
        <w:t xml:space="preserve">Confondre remise et escompte</w:t>
      </w:r>
      <w:r>
        <w:t xml:space="preserve"> : l'escompte Hilton (3 %) est conditionné au paiement comptant de la totalité, il ne s'additionne pas automatiquement au prix.</w:t>
      </w:r>
    </w:p>
    <w:p>
      <w:pPr>
        <w:pStyle w:val="ListParagraph"/>
        <w:numPr>
          <w:ilvl w:val="0"/>
          <w:numId w:val="2"/>
        </w:numPr>
        <w:spacing w:after="80" w:line="264"/>
        <w:jc w:val="both"/>
      </w:pPr>
      <w:r>
        <w:rPr>
          <w:b/>
          <w:bCs/>
        </w:rPr>
        <w:t xml:space="preserve">Calculer la marge comme CA TTC − achat HT</w:t>
      </w:r>
      <w:r>
        <w:t xml:space="preserve"> : on ne soustrait jamais un HT d'un TTC ; repassez le CA en HT (÷ 1,2) avant de calculer la marge.</w:t>
      </w:r>
    </w:p>
    <w:p>
      <w:pPr>
        <w:pStyle w:val="ListParagraph"/>
        <w:numPr>
          <w:ilvl w:val="0"/>
          <w:numId w:val="2"/>
        </w:numPr>
        <w:spacing w:after="80" w:line="264"/>
        <w:jc w:val="both"/>
      </w:pPr>
      <w:r>
        <w:rPr>
          <w:b/>
          <w:bCs/>
        </w:rPr>
        <w:t xml:space="preserve">Oublier de conclure par un choix ferme</w:t>
      </w:r>
      <w:r>
        <w:t xml:space="preserve"> ou choisir sans argument chiffré.</w:t>
      </w:r>
    </w:p>
    <w:p>
      <w:pPr>
        <w:pStyle w:val="Heading3"/>
        <w:spacing w:after="120" w:before="220"/>
      </w:pPr>
      <w:r>
        <w:rPr>
          <w:b/>
          <w:bCs/>
          <w:color w:val="2E5FA3"/>
        </w:rPr>
        <w:t xml:space="preserve">Exemple complémentaire</w:t>
      </w:r>
    </w:p>
    <w:p>
      <w:pPr>
        <w:spacing w:after="160" w:before="0" w:line="276"/>
        <w:jc w:val="both"/>
      </w:pPr>
      <w:r>
        <w:rPr>
          <w:i/>
          <w:iCs/>
        </w:rPr>
        <w:t xml:space="preserve">Mini-cas.</w:t>
      </w:r>
      <w:r>
        <w:t xml:space="preserve"> Deux fournisseurs pour une commande de 4 000 € HT : A consent 8 % de remise, paiement comptant ; B ne fait aucune remise mais accorde 45 jours. La trésorerie de l'entreprise est de − 2 000 €. </w:t>
      </w:r>
      <w:r>
        <w:rPr>
          <w:i/>
          <w:iCs/>
        </w:rPr>
        <w:t xml:space="preserve">Analyse</w:t>
      </w:r>
      <w:r>
        <w:t xml:space="preserve"> : A coûte 3 680 € payés immédiatement (impossible : la trésorerie est négative) ; B coûte 320 € « de plus » mais laisse 45 jours pour encaisser les ventes. Le choix B s'impose malgré son prix : quand la trésorerie est la contrainte active, le délai de paiement est un critère de survie, pas de confort. C'est la même logique que dans le sujet.</w:t>
      </w:r>
    </w:p>
    <w:p>
      <w:pPr>
        <w:pStyle w:val="Heading3"/>
        <w:spacing w:after="120" w:before="220"/>
      </w:pPr>
      <w:r>
        <w:rPr>
          <w:b/>
          <w:bCs/>
          <w:color w:val="2E5FA3"/>
        </w:rPr>
        <w:t xml:space="preserve">À retenir pour l'examen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t xml:space="preserve">Chaîne du devis : Brut − Remise = Net commercial ; + TVA = TTC. Remise (commerciale) ≠ escompte (financier).</w:t>
            </w:r>
          </w:p>
          <w:p>
            <w:pPr>
              <w:spacing w:after="80" w:before="0" w:line="264"/>
            </w:pPr>
            <w:r>
              <w:t xml:space="preserve">Coefficient multiplicateur = PV TTC / PA HT ; CA potentiel = net commercial × coefficient.</w:t>
            </w:r>
          </w:p>
          <w:p>
            <w:pPr>
              <w:spacing w:after="80" w:before="0" w:line="264"/>
            </w:pPr>
            <w:r>
              <w:t xml:space="preserve">Marge potentielle = CA HT potentiel − coût d'achat (jamais TTC − HT).</w:t>
            </w:r>
          </w:p>
          <w:p>
            <w:pPr>
              <w:spacing w:after="40" w:before="0" w:line="264"/>
            </w:pPr>
            <w:r>
              <w:t xml:space="preserve">Sélection fournisseur = multicritère pondéré par le contexte ; trésorerie tendue → poids décisif des conditions de paiement et de livraison.</w:t>
            </w:r>
          </w:p>
        </w:tc>
      </w:tr>
    </w:tbl>
    <w:p>
      <w:pPr>
        <w:pStyle w:val="Heading2"/>
        <w:spacing w:after="180" w:before="280"/>
      </w:pPr>
      <w:r>
        <w:rPr>
          <w:b/>
          <w:bCs/>
          <w:color w:val="1F3864"/>
        </w:rPr>
        <w:t xml:space="preserve">Question 3.2 – Conseillez Pascale Prunet sur les prix de vente promotionnels à fixer</w:t>
      </w:r>
    </w:p>
    <w:p>
      <w:pPr>
        <w:pStyle w:val="Heading3"/>
        <w:spacing w:after="120" w:before="220"/>
      </w:pPr>
      <w:r>
        <w:rPr>
          <w:b/>
          <w:bCs/>
          <w:color w:val="2E5FA3"/>
        </w:rPr>
        <w:t xml:space="preserve">Ce que la question vous demande</w:t>
      </w:r>
    </w:p>
    <w:p>
      <w:pPr>
        <w:spacing w:after="160" w:before="0" w:line="276"/>
        <w:jc w:val="both"/>
      </w:pPr>
      <w:r>
        <w:t xml:space="preserve">Le contrat HKM n'est pas renouvelé : il faut écouler les stocks restants (annexe 9) par une opération promotionnelle. L'habitude de la maison : appliquer un </w:t>
      </w:r>
      <w:r>
        <w:rPr>
          <w:b/>
          <w:bCs/>
        </w:rPr>
        <w:t xml:space="preserve">coefficient multiplicateur d'environ 1,5</w:t>
      </w:r>
      <w:r>
        <w:t xml:space="preserve"> en promotion (au lieu de 2 en temps normal). On vous demande de </w:t>
      </w:r>
      <w:r>
        <w:rPr>
          <w:b/>
          <w:bCs/>
        </w:rPr>
        <w:t xml:space="preserve">calculer les prix promotionnels</w:t>
      </w:r>
      <w:r>
        <w:t xml:space="preserve"> des trois produits HKM à partir de leurs </w:t>
      </w:r>
      <w:r>
        <w:rPr>
          <w:b/>
          <w:bCs/>
        </w:rPr>
        <w:t xml:space="preserve">prix d'achat HT</w:t>
      </w:r>
      <w:r>
        <w:t xml:space="preserve"> (annexe 8 : facture d'achat), puis de </w:t>
      </w:r>
      <w:r>
        <w:rPr>
          <w:b/>
          <w:bCs/>
        </w:rPr>
        <w:t xml:space="preserve">conseiller</w:t>
      </w:r>
      <w:r>
        <w:t xml:space="preserve"> — c'est-à-dire aussi de vérifier que ces prix sont licites (pas de revente à perte) et commercialement attractifs (montant de la démarque affichable).</w:t>
      </w:r>
    </w:p>
    <w:p>
      <w:pPr>
        <w:spacing w:after="160" w:before="0" w:line="276"/>
        <w:jc w:val="both"/>
      </w:pPr>
      <w:r>
        <w:t xml:space="preserve">Les données à croiser : annexe 8 pour les prix d'achat HT (33,20 € ; 3,29 € ; 11,90 €) et annexe 9 pour les prix de vente TTC actuels (66,90 € ; 6,50 € ; 23,90 €) et les quantités en stock (15 ; 30 ; 80).</w:t>
      </w:r>
    </w:p>
    <w:p>
      <w:pPr>
        <w:pStyle w:val="Heading3"/>
        <w:spacing w:after="120" w:before="220"/>
      </w:pPr>
      <w:r>
        <w:rPr>
          <w:b/>
          <w:bCs/>
          <w:color w:val="2E5FA3"/>
        </w:rPr>
        <w:t xml:space="preserve">Compétence et notion du référentiel mobilisées</w:t>
      </w:r>
    </w:p>
    <w:p>
      <w:pPr>
        <w:pStyle w:val="ListParagraph"/>
        <w:numPr>
          <w:ilvl w:val="0"/>
          <w:numId w:val="2"/>
        </w:numPr>
        <w:spacing w:after="80" w:line="264"/>
        <w:jc w:val="both"/>
      </w:pPr>
      <w:r>
        <w:rPr>
          <w:b/>
          <w:bCs/>
        </w:rPr>
        <w:t xml:space="preserve">Bloc 3 – « Gérer les opérations courantes »</w:t>
      </w:r>
      <w:r>
        <w:t xml:space="preserve"> : « fixer les prix ». Critère d'évaluation : « les propositions de prix sont réalistes ».</w:t>
      </w:r>
    </w:p>
    <w:p>
      <w:pPr>
        <w:pStyle w:val="ListParagraph"/>
        <w:numPr>
          <w:ilvl w:val="0"/>
          <w:numId w:val="2"/>
        </w:numPr>
        <w:spacing w:after="80" w:line="264"/>
        <w:jc w:val="both"/>
      </w:pPr>
      <w:r>
        <w:rPr>
          <w:b/>
          <w:bCs/>
        </w:rPr>
        <w:t xml:space="preserve">Savoir associé : « La fixation des prix »</w:t>
      </w:r>
      <w:r>
        <w:t xml:space="preserve">, dont les limites de savoirs citent « les principaux outils de fixation du prix », « les techniques de modulation des prix » et « les contraintes légales » — l'interdiction de la revente à perte relève de ces contraintes.</w:t>
      </w:r>
    </w:p>
    <w:p>
      <w:pPr>
        <w:pStyle w:val="ListParagraph"/>
        <w:numPr>
          <w:ilvl w:val="0"/>
          <w:numId w:val="2"/>
        </w:numPr>
        <w:spacing w:after="80" w:line="264"/>
        <w:jc w:val="both"/>
      </w:pPr>
      <w:r>
        <w:rPr>
          <w:b/>
          <w:bCs/>
        </w:rPr>
        <w:t xml:space="preserve">Objectif professionnel</w:t>
      </w:r>
      <w:r>
        <w:t xml:space="preserve"> : la modulation tarifaire lors d'une opération de déstockage, à l'articulation de la gestion (marge) et du droit commercial (seuil de revente à perte).</w:t>
      </w:r>
    </w:p>
    <w:p>
      <w:pPr>
        <w:pStyle w:val="Heading3"/>
        <w:spacing w:after="120" w:before="220"/>
      </w:pPr>
      <w:r>
        <w:rPr>
          <w:b/>
          <w:bCs/>
          <w:color w:val="2E5FA3"/>
        </w:rPr>
        <w:t xml:space="preserve">Rappel de cours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rPr>
                <w:b/>
                <w:bCs/>
              </w:rPr>
              <w:t xml:space="preserve">Prix de vente TTC = Prix d'achat HT × coefficient multiplicateur</w:t>
            </w:r>
          </w:p>
          <w:p>
            <w:pPr>
              <w:spacing w:after="40" w:before="0" w:line="264"/>
            </w:pPr>
            <w:r>
              <w:t xml:space="preserve">En promotion, on abaisse le coefficient (ici de 2 à 1,5) : le prix baisse d'environ 25 % mais chaque vente reste margée, car le coefficient couvre encore la TVA (facteur 1,2) et laisse une marge.</w:t>
            </w:r>
          </w:p>
        </w:tc>
      </w:tr>
    </w:tbl>
    <w:p>
      <w:pPr>
        <w:spacing w:after="100"/>
      </w:pPr>
    </w:p>
    <w:p>
      <w:pPr>
        <w:spacing w:after="160" w:before="0" w:line="276"/>
        <w:jc w:val="both"/>
      </w:pPr>
      <w:r>
        <w:rPr>
          <w:b/>
          <w:bCs/>
        </w:rPr>
        <w:t xml:space="preserve">Le seuil de revente à perte</w:t>
      </w:r>
      <w:r>
        <w:t xml:space="preserve"> : en France, il est interdit de revendre un produit en l'état à un prix inférieur à son prix d'achat effectif (article L.442-5 du Code de commerce). En pratique, pour un contrôle rapide : le prix de vente TTC promotionnel doit rester supérieur au prix d'achat majoré de la TVA (PA HT × 1,2). Avec un coefficient de 1,5 &gt; 1,2, on est mécaniquement au-dessus du seuil — mais </w:t>
      </w:r>
      <w:r>
        <w:rPr>
          <w:b/>
          <w:bCs/>
        </w:rPr>
        <w:t xml:space="preserve">le démontrer</w:t>
      </w:r>
      <w:r>
        <w:t xml:space="preserve"> dans la copie fait la différence.</w:t>
      </w:r>
    </w:p>
    <w:p>
      <w:pPr>
        <w:spacing w:after="160" w:before="0" w:line="276"/>
        <w:jc w:val="both"/>
      </w:pPr>
      <w:r>
        <w:rPr>
          <w:b/>
          <w:bCs/>
        </w:rPr>
        <w:t xml:space="preserve">Vérification décomposée du coefficient 1,5</w:t>
      </w:r>
      <w:r>
        <w:t xml:space="preserve"> : PV TTC = PA HT × 1,5 → PV HT = PA HT × 1,5 / 1,2 = PA HT × 1,25 → la marge résiduelle est de 25 % du prix d'achat (taux de marge sur PA de 25 %, taux de marque de 20 %). En clair : même « en promo », chaque produit vendu rapporte encore.</w:t>
      </w:r>
    </w:p>
    <w:p>
      <w:pPr>
        <w:spacing w:after="160" w:before="0" w:line="276"/>
        <w:jc w:val="both"/>
      </w:pPr>
      <w:r>
        <w:rPr>
          <w:b/>
          <w:bCs/>
        </w:rPr>
        <w:t xml:space="preserve">Le taux de démarque affiché</w:t>
      </w:r>
      <w:r>
        <w:t xml:space="preserve"> (réduction perçue par le client) = 1 − (prix promo / prix normal). C'est lui qui déclenche l'achat : en dessous de 20 %, une promotion de déstockage est peu attractive ; autour de 25-30 %, elle fonctionne.</w:t>
      </w:r>
    </w:p>
    <w:p>
      <w:pPr>
        <w:pStyle w:val="Heading3"/>
        <w:spacing w:after="120" w:before="220"/>
      </w:pPr>
      <w:r>
        <w:rPr>
          <w:b/>
          <w:bCs/>
          <w:color w:val="2E5FA3"/>
        </w:rPr>
        <w:t xml:space="preserve">Méthode à appliquer</w:t>
      </w:r>
    </w:p>
    <w:p>
      <w:pPr>
        <w:pStyle w:val="ListParagraph"/>
        <w:numPr>
          <w:ilvl w:val="0"/>
          <w:numId w:val="2"/>
        </w:numPr>
        <w:spacing w:after="80" w:line="264"/>
        <w:jc w:val="both"/>
      </w:pPr>
      <w:r>
        <w:rPr>
          <w:b/>
          <w:bCs/>
        </w:rPr>
        <w:t xml:space="preserve">Étape 1</w:t>
      </w:r>
      <w:r>
        <w:t xml:space="preserve"> – Repérer les prix d'achat HT (annexe 8) et les prix de vente TTC actuels (annexe 9).</w:t>
      </w:r>
    </w:p>
    <w:p>
      <w:pPr>
        <w:pStyle w:val="ListParagraph"/>
        <w:numPr>
          <w:ilvl w:val="0"/>
          <w:numId w:val="2"/>
        </w:numPr>
        <w:spacing w:after="80" w:line="264"/>
        <w:jc w:val="both"/>
      </w:pPr>
      <w:r>
        <w:rPr>
          <w:b/>
          <w:bCs/>
        </w:rPr>
        <w:t xml:space="preserve">Étape 2</w:t>
      </w:r>
      <w:r>
        <w:t xml:space="preserve"> – Calculer les prix promotionnels : PA HT × 1,5, avec arrondi commercial au centime (voire à un prix psychologique).</w:t>
      </w:r>
    </w:p>
    <w:p>
      <w:pPr>
        <w:pStyle w:val="ListParagraph"/>
        <w:numPr>
          <w:ilvl w:val="0"/>
          <w:numId w:val="2"/>
        </w:numPr>
        <w:spacing w:after="80" w:line="264"/>
        <w:jc w:val="both"/>
      </w:pPr>
      <w:r>
        <w:rPr>
          <w:b/>
          <w:bCs/>
        </w:rPr>
        <w:t xml:space="preserve">Étape 3</w:t>
      </w:r>
      <w:r>
        <w:t xml:space="preserve"> – Vérifier la licéité : prix promo ≥ PA TTC (PA HT × 1,2).</w:t>
      </w:r>
    </w:p>
    <w:p>
      <w:pPr>
        <w:pStyle w:val="ListParagraph"/>
        <w:numPr>
          <w:ilvl w:val="0"/>
          <w:numId w:val="2"/>
        </w:numPr>
        <w:spacing w:after="80" w:line="264"/>
        <w:jc w:val="both"/>
      </w:pPr>
      <w:r>
        <w:rPr>
          <w:b/>
          <w:bCs/>
        </w:rPr>
        <w:t xml:space="preserve">Étape 4</w:t>
      </w:r>
      <w:r>
        <w:t xml:space="preserve"> – Calculer la réduction affichée par rapport au prix actuel et vérifier son attractivité.</w:t>
      </w:r>
    </w:p>
    <w:p>
      <w:pPr>
        <w:pStyle w:val="ListParagraph"/>
        <w:numPr>
          <w:ilvl w:val="0"/>
          <w:numId w:val="2"/>
        </w:numPr>
        <w:spacing w:after="80" w:line="264"/>
        <w:jc w:val="both"/>
      </w:pPr>
      <w:r>
        <w:rPr>
          <w:b/>
          <w:bCs/>
        </w:rPr>
        <w:t xml:space="preserve">Étape 5</w:t>
      </w:r>
      <w:r>
        <w:t xml:space="preserve"> – Formuler le conseil : prix proposés + arguments (légalité, marge conservée, attractivité).</w:t>
      </w:r>
    </w:p>
    <w:p>
      <w:pPr>
        <w:pStyle w:val="Heading3"/>
        <w:spacing w:after="120" w:before="220"/>
      </w:pPr>
      <w:r>
        <w:rPr>
          <w:b/>
          <w:bCs/>
          <w:color w:val="2E5FA3"/>
        </w:rPr>
        <w:t xml:space="preserve">Correction détaillée</w:t>
      </w:r>
    </w:p>
    <w:p>
      <w:pPr>
        <w:spacing w:after="160" w:before="0" w:line="276"/>
        <w:jc w:val="both"/>
      </w:pPr>
      <w:r>
        <w:rPr>
          <w:b/>
          <w:bCs/>
        </w:rPr>
        <w:t xml:space="preserve">Calcul des prix promotionnels (coefficient 1,5) et vérifications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1600"/>
        <w:gridCol w:w="1700"/>
        <w:gridCol w:w="1450"/>
        <w:gridCol w:w="810"/>
      </w:tblGrid>
      <w:tr>
        <w:trPr>
          <w:tblHeader/>
        </w:trPr>
        <w:tc>
          <w:tcPr>
            <w:tcW w:type="dxa" w:w="24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left"/>
            </w:pPr>
            <w:r>
              <w:rPr>
                <w:b/>
                <w:bCs/>
                <w:color w:val="FFFFFF"/>
                <w:sz w:val="20"/>
                <w:szCs w:val="20"/>
              </w:rPr>
              <w:t xml:space="preserve">Produit</w:t>
            </w:r>
          </w:p>
        </w:tc>
        <w:tc>
          <w:tcPr>
            <w:tcW w:type="dxa" w:w="14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PA HT (annexe 8)</w:t>
            </w:r>
          </w:p>
        </w:tc>
        <w:tc>
          <w:tcPr>
            <w:tcW w:type="dxa" w:w="16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PV TTC actuel (annexe 9)</w:t>
            </w:r>
          </w:p>
        </w:tc>
        <w:tc>
          <w:tcPr>
            <w:tcW w:type="dxa" w:w="17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PV promo TTC (PA × 1,5)</w:t>
            </w:r>
          </w:p>
        </w:tc>
        <w:tc>
          <w:tcPr>
            <w:tcW w:type="dxa" w:w="145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Seuil PA TTC (PA × 1,2)</w:t>
            </w:r>
          </w:p>
        </w:tc>
        <w:tc>
          <w:tcPr>
            <w:tcW w:type="dxa" w:w="81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Réduction affichée</w:t>
            </w:r>
          </w:p>
        </w:tc>
      </w:tr>
      <w:tr>
        <w:tc>
          <w:tcPr>
            <w:tcW w:type="dxa" w:w="24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Guêtre thérapeutique</w:t>
            </w:r>
          </w:p>
        </w:tc>
        <w:tc>
          <w:tcPr>
            <w:tcW w:type="dxa" w:w="14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33,20 €</w:t>
            </w:r>
          </w:p>
        </w:tc>
        <w:tc>
          <w:tcPr>
            <w:tcW w:type="dxa" w:w="16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66,90 €</w:t>
            </w:r>
          </w:p>
        </w:tc>
        <w:tc>
          <w:tcPr>
            <w:tcW w:type="dxa" w:w="17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49,80 €</w:t>
            </w:r>
          </w:p>
        </w:tc>
        <w:tc>
          <w:tcPr>
            <w:tcW w:type="dxa" w:w="145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39,84 €</w:t>
            </w:r>
          </w:p>
        </w:tc>
        <w:tc>
          <w:tcPr>
            <w:tcW w:type="dxa" w:w="81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− 25,6 %</w:t>
            </w:r>
          </w:p>
        </w:tc>
      </w:tr>
      <w:tr>
        <w:tc>
          <w:tcPr>
            <w:tcW w:type="dxa" w:w="24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Sac de bonbons 250 g</w:t>
            </w:r>
          </w:p>
        </w:tc>
        <w:tc>
          <w:tcPr>
            <w:tcW w:type="dxa" w:w="14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3,29 €</w:t>
            </w:r>
          </w:p>
        </w:tc>
        <w:tc>
          <w:tcPr>
            <w:tcW w:type="dxa" w:w="16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6,50 €</w:t>
            </w:r>
          </w:p>
        </w:tc>
        <w:tc>
          <w:tcPr>
            <w:tcW w:type="dxa" w:w="17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4,94 € (arrondi 4,95 €)</w:t>
            </w:r>
          </w:p>
        </w:tc>
        <w:tc>
          <w:tcPr>
            <w:tcW w:type="dxa" w:w="145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3,95 €</w:t>
            </w:r>
          </w:p>
        </w:tc>
        <w:tc>
          <w:tcPr>
            <w:tcW w:type="dxa" w:w="81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− 24,1 %</w:t>
            </w:r>
          </w:p>
        </w:tc>
      </w:tr>
      <w:tr>
        <w:tc>
          <w:tcPr>
            <w:tcW w:type="dxa" w:w="24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Pommade à l'argent 150 ml</w:t>
            </w:r>
          </w:p>
        </w:tc>
        <w:tc>
          <w:tcPr>
            <w:tcW w:type="dxa" w:w="14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11,90 €</w:t>
            </w:r>
          </w:p>
        </w:tc>
        <w:tc>
          <w:tcPr>
            <w:tcW w:type="dxa" w:w="16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23,90 €</w:t>
            </w:r>
          </w:p>
        </w:tc>
        <w:tc>
          <w:tcPr>
            <w:tcW w:type="dxa" w:w="17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17,85 €</w:t>
            </w:r>
          </w:p>
        </w:tc>
        <w:tc>
          <w:tcPr>
            <w:tcW w:type="dxa" w:w="145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14,28 €</w:t>
            </w:r>
          </w:p>
        </w:tc>
        <w:tc>
          <w:tcPr>
            <w:tcW w:type="dxa" w:w="81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− 25,3 %</w:t>
            </w:r>
          </w:p>
        </w:tc>
      </w:tr>
    </w:tbl>
    <w:p>
      <w:pPr>
        <w:spacing w:after="100"/>
      </w:pPr>
    </w:p>
    <w:p>
      <w:pPr>
        <w:pStyle w:val="ListParagraph"/>
        <w:numPr>
          <w:ilvl w:val="0"/>
          <w:numId w:val="2"/>
        </w:numPr>
        <w:spacing w:after="80" w:line="264"/>
        <w:jc w:val="both"/>
      </w:pPr>
      <w:r>
        <w:t xml:space="preserve">Exemple justifié : guêtre → 33,20 × 1,5 = </w:t>
      </w:r>
      <w:r>
        <w:rPr>
          <w:b/>
          <w:bCs/>
        </w:rPr>
        <w:t xml:space="preserve">49,80 € TTC</w:t>
      </w:r>
      <w:r>
        <w:t xml:space="preserve"> ; contrôle de licéité : 49,80 € &gt; 39,84 € (prix d'achat TTC) → pas de revente à perte ; réduction : 1 − 49,80/66,90 = </w:t>
      </w:r>
      <w:r>
        <w:rPr>
          <w:b/>
          <w:bCs/>
        </w:rPr>
        <w:t xml:space="preserve">25,6 %</w:t>
      </w:r>
      <w:r>
        <w:t xml:space="preserve">.</w:t>
      </w:r>
    </w:p>
    <w:p>
      <w:pPr>
        <w:pStyle w:val="ListParagraph"/>
        <w:numPr>
          <w:ilvl w:val="0"/>
          <w:numId w:val="2"/>
        </w:numPr>
        <w:spacing w:after="80" w:line="264"/>
        <w:jc w:val="both"/>
      </w:pPr>
      <w:r>
        <w:t xml:space="preserve">Chaque produit conserve une marge unitaire : PV promo HT = PA × 1,25, soit une marge de 25 % du prix d'achat (guêtre : 41,50 − 33,20 = 8,30 € HT par unité vendue).</w:t>
      </w:r>
    </w:p>
    <w:p>
      <w:pPr>
        <w:pStyle w:val="Heading3"/>
        <w:spacing w:after="120" w:before="220"/>
      </w:pPr>
      <w:r>
        <w:rPr>
          <w:b/>
          <w:bCs/>
          <w:color w:val="2E5FA3"/>
        </w:rPr>
        <w:t xml:space="preserve">Interprétation du résultat</w:t>
      </w:r>
    </w:p>
    <w:p>
      <w:pPr>
        <w:spacing w:after="160" w:before="0" w:line="276"/>
        <w:jc w:val="both"/>
      </w:pPr>
      <w:r>
        <w:t xml:space="preserve">Le coefficient de 1,5 produit une </w:t>
      </w:r>
      <w:r>
        <w:rPr>
          <w:b/>
          <w:bCs/>
        </w:rPr>
        <w:t xml:space="preserve">triple cohérence</w:t>
      </w:r>
      <w:r>
        <w:t xml:space="preserve"> : commerciale (une démarque d'environ − 25 %, homogène sur les trois produits, lisible et attractive en communication : « jusqu'à − 25 % sur les produits HKM »), juridique (tous les prix restent au-dessus du seuil de revente à perte, avec une confortable avance) et économique (chaque vente dégage encore 25 % de marge sur le prix d'achat). C'est le propre d'une promotion de déstockage bien calibrée : accélérer la rotation sans détruire la valeur. Conséquence pour le manager : les stocks HKM (dont 80 pots de pommade — la référence la plus lourde) peuvent être écoulés sans perte, en libérant trésorerie et linéaire pour le nouveau fournisseur retenu en 3.1.</w:t>
      </w:r>
    </w:p>
    <w:p>
      <w:pPr>
        <w:pStyle w:val="Heading3"/>
        <w:spacing w:after="120" w:before="220"/>
      </w:pPr>
      <w:r>
        <w:rPr>
          <w:b/>
          <w:bCs/>
          <w:color w:val="2E5FA3"/>
        </w:rPr>
        <w:t xml:space="preserve">Réponse rédigée attendue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D32" w:sz="6"/>
              <w:left w:val="single" w:color="2E7D32" w:sz="24"/>
              <w:bottom w:val="single" w:color="2E7D32" w:sz="6"/>
              <w:right w:val="single" w:color="2E7D32" w:sz="6"/>
            </w:tcBorders>
            <w:shd w:fill="F2F6FB" w:val="clear"/>
            <w:tcMar>
              <w:top w:type="dxa" w:w="120"/>
              <w:left w:type="dxa" w:w="200"/>
              <w:bottom w:type="dxa" w:w="120"/>
              <w:right w:type="dxa" w:w="200"/>
            </w:tcMar>
          </w:tcPr>
          <w:p>
            <w:pPr>
              <w:spacing w:after="80" w:before="40" w:line="264"/>
            </w:pPr>
            <w:r>
              <w:t xml:space="preserve">En appliquant le coefficient promotionnel habituel de 1,5 aux prix d'achat HT, je conseille les prix suivants : </w:t>
            </w:r>
            <w:r>
              <w:rPr>
                <w:b/>
                <w:bCs/>
              </w:rPr>
              <w:t xml:space="preserve">guêtre thérapeutique 49,80 € TTC</w:t>
            </w:r>
            <w:r>
              <w:t xml:space="preserve"> (au lieu de 66,90 €), </w:t>
            </w:r>
            <w:r>
              <w:rPr>
                <w:b/>
                <w:bCs/>
              </w:rPr>
              <w:t xml:space="preserve">sac de bonbons 4,95 € TTC</w:t>
            </w:r>
            <w:r>
              <w:t xml:space="preserve"> (au lieu de 6,50 €), </w:t>
            </w:r>
            <w:r>
              <w:rPr>
                <w:b/>
                <w:bCs/>
              </w:rPr>
              <w:t xml:space="preserve">pommade à l'argent 17,85 € TTC</w:t>
            </w:r>
            <w:r>
              <w:t xml:space="preserve"> (au lieu de 23,90 €).</w:t>
            </w:r>
          </w:p>
          <w:p>
            <w:pPr>
              <w:spacing w:after="40" w:before="0" w:line="264"/>
            </w:pPr>
            <w:r>
              <w:t xml:space="preserve">Ces prix sont licites : ils restent supérieurs aux prix d'achat TTC (respectivement 39,84 €, 3,95 € et 14,28 €), il n'y a donc pas de revente à perte. Ils préservent une marge de 25 % du prix d'achat sur chaque vente, tout en offrant au client une réduction homogène et attractive d'environ − 25 %, facile à mettre en avant en magasin.</w:t>
            </w:r>
          </w:p>
        </w:tc>
      </w:tr>
    </w:tbl>
    <w:p>
      <w:pPr>
        <w:pStyle w:val="Heading3"/>
        <w:spacing w:after="120" w:before="220"/>
      </w:pPr>
      <w:r>
        <w:rPr>
          <w:b/>
          <w:bCs/>
          <w:color w:val="2E5FA3"/>
        </w:rPr>
        <w:t xml:space="preserve">Conseils du correcteur</w:t>
      </w:r>
    </w:p>
    <w:p>
      <w:pPr>
        <w:pStyle w:val="ListParagraph"/>
        <w:numPr>
          <w:ilvl w:val="0"/>
          <w:numId w:val="2"/>
        </w:numPr>
        <w:spacing w:after="80" w:line="264"/>
        <w:jc w:val="both"/>
      </w:pPr>
      <w:r>
        <w:rPr>
          <w:b/>
          <w:bCs/>
        </w:rPr>
        <w:t xml:space="preserve">Prenez les prix d'achat dans l'annexe 8, pas les prix de vente de l'annexe 9</w:t>
      </w:r>
      <w:r>
        <w:t xml:space="preserve"> : le coefficient s'applique au prix d'achat HT. C'est l'erreur n° 1 sur ce type de question.</w:t>
      </w:r>
    </w:p>
    <w:p>
      <w:pPr>
        <w:pStyle w:val="ListParagraph"/>
        <w:numPr>
          <w:ilvl w:val="0"/>
          <w:numId w:val="2"/>
        </w:numPr>
        <w:spacing w:after="80" w:line="264"/>
        <w:jc w:val="both"/>
      </w:pPr>
      <w:r>
        <w:rPr>
          <w:b/>
          <w:bCs/>
        </w:rPr>
        <w:t xml:space="preserve">La vérification « pas de revente à perte » est le point bonus attendu</w:t>
      </w:r>
      <w:r>
        <w:t xml:space="preserve"> : elle mobilise les « contraintes légales » du savoir « fixation des prix ».</w:t>
      </w:r>
    </w:p>
    <w:p>
      <w:pPr>
        <w:pStyle w:val="ListParagraph"/>
        <w:numPr>
          <w:ilvl w:val="0"/>
          <w:numId w:val="2"/>
        </w:numPr>
        <w:spacing w:after="80" w:line="264"/>
        <w:jc w:val="both"/>
      </w:pPr>
      <w:r>
        <w:t xml:space="preserve">L'arrondi commercial est admis et même apprécié (4,94 € → 4,95 €), à condition de le signaler.</w:t>
      </w:r>
    </w:p>
    <w:p>
      <w:pPr>
        <w:pStyle w:val="ListParagraph"/>
        <w:numPr>
          <w:ilvl w:val="0"/>
          <w:numId w:val="2"/>
        </w:numPr>
        <w:spacing w:after="80" w:line="264"/>
        <w:jc w:val="both"/>
      </w:pPr>
      <w:r>
        <w:t xml:space="preserve">Calculez la </w:t>
      </w:r>
      <w:r>
        <w:rPr>
          <w:b/>
          <w:bCs/>
        </w:rPr>
        <w:t xml:space="preserve">réduction affichée</w:t>
      </w:r>
      <w:r>
        <w:t xml:space="preserve"> : un conseil de prix promotionnel sans regard client est incomplet — vous êtes en BTS MCO, pas en comptabilité pure.</w:t>
      </w:r>
    </w:p>
    <w:p>
      <w:pPr>
        <w:pStyle w:val="ListParagraph"/>
        <w:numPr>
          <w:ilvl w:val="0"/>
          <w:numId w:val="2"/>
        </w:numPr>
        <w:spacing w:after="80" w:line="264"/>
        <w:jc w:val="both"/>
      </w:pPr>
      <w:r>
        <w:t xml:space="preserve">Temps conseillé : </w:t>
      </w:r>
      <w:r>
        <w:rPr>
          <w:b/>
          <w:bCs/>
        </w:rPr>
        <w:t xml:space="preserve">10 à 15 minutes</w:t>
      </w:r>
      <w:r>
        <w:t xml:space="preserve">.</w:t>
      </w:r>
    </w:p>
    <w:p>
      <w:pPr>
        <w:pBdr>
          <w:left w:val="single" w:color="2E5FA3" w:sz="18" w:space="8"/>
        </w:pBdr>
        <w:spacing w:after="160" w:before="60" w:line="276"/>
        <w:ind w:left="360"/>
      </w:pPr>
      <w:r>
        <w:rPr>
          <w:i/>
          <w:iCs/>
          <w:color w:val="2E5FA3"/>
        </w:rPr>
        <w:t xml:space="preserve">« Conseillez sur les prix » ne veut pas dire « donnez trois nombres ». Cela veut dire : proposez des prix, prouvez qu'ils sont légaux, montrez qu'ils margent encore, et vérifiez qu'ils feront venir le client. Quatre vérifications, quatre occasions de gagner des points.</w:t>
      </w:r>
    </w:p>
    <w:p>
      <w:pPr>
        <w:pStyle w:val="Heading3"/>
        <w:spacing w:after="120" w:before="220"/>
      </w:pPr>
      <w:r>
        <w:rPr>
          <w:b/>
          <w:bCs/>
          <w:color w:val="2E5FA3"/>
        </w:rPr>
        <w:t xml:space="preserve">Les erreurs fréquentes à éviter</w:t>
      </w:r>
    </w:p>
    <w:p>
      <w:pPr>
        <w:pStyle w:val="ListParagraph"/>
        <w:numPr>
          <w:ilvl w:val="0"/>
          <w:numId w:val="2"/>
        </w:numPr>
        <w:spacing w:after="80" w:line="264"/>
        <w:jc w:val="both"/>
      </w:pPr>
      <w:r>
        <w:rPr>
          <w:b/>
          <w:bCs/>
        </w:rPr>
        <w:t xml:space="preserve">Appliquer le coefficient 1,5 au prix de vente actuel</w:t>
      </w:r>
      <w:r>
        <w:t xml:space="preserve"> (66,90 × 1,5 : vous augmentez les prix de 50 % en pleine promotion !) ou au prix d'achat TTC.</w:t>
      </w:r>
    </w:p>
    <w:p>
      <w:pPr>
        <w:pStyle w:val="ListParagraph"/>
        <w:numPr>
          <w:ilvl w:val="0"/>
          <w:numId w:val="2"/>
        </w:numPr>
        <w:spacing w:after="80" w:line="264"/>
        <w:jc w:val="both"/>
      </w:pPr>
      <w:r>
        <w:rPr>
          <w:b/>
          <w:bCs/>
        </w:rPr>
        <w:t xml:space="preserve">Confondre coefficient et remise</w:t>
      </w:r>
      <w:r>
        <w:t xml:space="preserve"> : coefficient 1,5 ne signifie pas « − 50 % » ni « − 25 % de remise sur le PA ».</w:t>
      </w:r>
    </w:p>
    <w:p>
      <w:pPr>
        <w:pStyle w:val="ListParagraph"/>
        <w:numPr>
          <w:ilvl w:val="0"/>
          <w:numId w:val="2"/>
        </w:numPr>
        <w:spacing w:after="80" w:line="264"/>
        <w:jc w:val="both"/>
      </w:pPr>
      <w:r>
        <w:rPr>
          <w:b/>
          <w:bCs/>
        </w:rPr>
        <w:t xml:space="preserve">Oublier la vérification de revente à perte</w:t>
      </w:r>
      <w:r>
        <w:t xml:space="preserve"> ou la faire en comparant le prix promo TTC au prix d'achat HT (comparaison hétérogène).</w:t>
      </w:r>
    </w:p>
    <w:p>
      <w:pPr>
        <w:pStyle w:val="ListParagraph"/>
        <w:numPr>
          <w:ilvl w:val="0"/>
          <w:numId w:val="2"/>
        </w:numPr>
        <w:spacing w:after="80" w:line="264"/>
        <w:jc w:val="both"/>
      </w:pPr>
      <w:r>
        <w:rPr>
          <w:b/>
          <w:bCs/>
        </w:rPr>
        <w:t xml:space="preserve">Donner des prix sans unité ni mention TTC</w:t>
      </w:r>
      <w:r>
        <w:t xml:space="preserve"> : en prix de détail, le TTC est la règle.</w:t>
      </w:r>
    </w:p>
    <w:p>
      <w:pPr>
        <w:pStyle w:val="ListParagraph"/>
        <w:numPr>
          <w:ilvl w:val="0"/>
          <w:numId w:val="2"/>
        </w:numPr>
        <w:spacing w:after="80" w:line="264"/>
        <w:jc w:val="both"/>
      </w:pPr>
      <w:r>
        <w:rPr>
          <w:b/>
          <w:bCs/>
        </w:rPr>
        <w:t xml:space="preserve">Ne pas rapprocher les prix promo des prix actuels</w:t>
      </w:r>
      <w:r>
        <w:t xml:space="preserve"> : sans la colonne « réduction », votre conseil n'est pas argumenté commercialement.</w:t>
      </w:r>
    </w:p>
    <w:p>
      <w:pPr>
        <w:pStyle w:val="Heading3"/>
        <w:spacing w:after="120" w:before="220"/>
      </w:pPr>
      <w:r>
        <w:rPr>
          <w:b/>
          <w:bCs/>
          <w:color w:val="2E5FA3"/>
        </w:rPr>
        <w:t xml:space="preserve">Exemple complémentaire</w:t>
      </w:r>
    </w:p>
    <w:p>
      <w:pPr>
        <w:spacing w:after="160" w:before="0" w:line="276"/>
        <w:jc w:val="both"/>
      </w:pPr>
      <w:r>
        <w:rPr>
          <w:i/>
          <w:iCs/>
        </w:rPr>
        <w:t xml:space="preserve">Variante d'examen.</w:t>
      </w:r>
      <w:r>
        <w:t xml:space="preserve"> Un article acheté 24 € HT est habituellement vendu avec un coefficient de 2,2. Pour les soldes, la boutique veut afficher « − 30 % ». Le prix soldé respecte-t-il le seuil de revente à perte ? </w:t>
      </w:r>
      <w:r>
        <w:rPr>
          <w:i/>
          <w:iCs/>
        </w:rPr>
        <w:t xml:space="preserve">Corrigé</w:t>
      </w:r>
      <w:r>
        <w:t xml:space="preserve"> : PV normal = 52,80 € TTC ; PV soldé = 52,80 × 0,70 = 36,96 € ; seuil = 24 × 1,2 = 28,80 € ; 36,96 &gt; 28,80 → licite, et le coefficient résiduel est de 36,96/24 = 1,54. Vous voyez que raisonner en coefficient permet de vérifier la licéité d'une démarque en une ligne.</w:t>
      </w:r>
    </w:p>
    <w:p>
      <w:pPr>
        <w:pStyle w:val="Heading3"/>
        <w:spacing w:after="120" w:before="220"/>
      </w:pPr>
      <w:r>
        <w:rPr>
          <w:b/>
          <w:bCs/>
          <w:color w:val="2E5FA3"/>
        </w:rPr>
        <w:t xml:space="preserve">À retenir pour l'examen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t xml:space="preserve">PV promo TTC = PA HT × coefficient promotionnel (ici 1,5).</w:t>
            </w:r>
          </w:p>
          <w:p>
            <w:pPr>
              <w:spacing w:after="80" w:before="0" w:line="264"/>
            </w:pPr>
            <w:r>
              <w:t xml:space="preserve">Licéité : PV TTC ≥ PA HT × 1,2 (pas de revente à perte). Un coefficient &gt; 1,2 garantit la licéité.</w:t>
            </w:r>
          </w:p>
          <w:p>
            <w:pPr>
              <w:spacing w:after="80" w:before="0" w:line="264"/>
            </w:pPr>
            <w:r>
              <w:t xml:space="preserve">PV HT = PV TTC / 1,2 ; marge unitaire = PV HT − PA HT.</w:t>
            </w:r>
          </w:p>
          <w:p>
            <w:pPr>
              <w:spacing w:after="40" w:before="0" w:line="264"/>
            </w:pPr>
            <w:r>
              <w:t xml:space="preserve">Toujours calculer la réduction perçue par le client : c'est l'argument commercial de la promotion.</w:t>
            </w:r>
          </w:p>
        </w:tc>
      </w:tr>
    </w:tbl>
    <w:p>
      <w:pPr>
        <w:pStyle w:val="Heading2"/>
        <w:spacing w:after="180" w:before="280"/>
      </w:pPr>
      <w:r>
        <w:rPr>
          <w:b/>
          <w:bCs/>
          <w:color w:val="1F3864"/>
        </w:rPr>
        <w:t xml:space="preserve">Question 3.3 – Évaluez l'impact quantitatif et qualitatif de chaque option envisagée. Concluez</w:t>
      </w:r>
    </w:p>
    <w:p>
      <w:pPr>
        <w:pStyle w:val="Heading3"/>
        <w:spacing w:after="120" w:before="220"/>
      </w:pPr>
      <w:r>
        <w:rPr>
          <w:b/>
          <w:bCs/>
          <w:color w:val="2E5FA3"/>
        </w:rPr>
        <w:t xml:space="preserve">Ce que la question vous demande</w:t>
      </w:r>
    </w:p>
    <w:p>
      <w:pPr>
        <w:spacing w:after="160" w:before="0" w:line="276"/>
        <w:jc w:val="both"/>
      </w:pPr>
      <w:r>
        <w:t xml:space="preserve">Deux options pour se défaire du stock HKM : (option A) l'</w:t>
      </w:r>
      <w:r>
        <w:rPr>
          <w:b/>
          <w:bCs/>
        </w:rPr>
        <w:t xml:space="preserve">opération promotionnelle</w:t>
      </w:r>
      <w:r>
        <w:t xml:space="preserve"> de la question 3.2 ; (option B) la </w:t>
      </w:r>
      <w:r>
        <w:rPr>
          <w:b/>
          <w:bCs/>
        </w:rPr>
        <w:t xml:space="preserve">reprise immédiate de tout le stock par un grossiste à 70 % de sa valeur de vente HT actuelle</w:t>
      </w:r>
      <w:r>
        <w:t xml:space="preserve">. Le libellé est très directif : « impact </w:t>
      </w:r>
      <w:r>
        <w:rPr>
          <w:b/>
          <w:bCs/>
        </w:rPr>
        <w:t xml:space="preserve">quantitatif</w:t>
      </w:r>
      <w:r>
        <w:t xml:space="preserve"> ET </w:t>
      </w:r>
      <w:r>
        <w:rPr>
          <w:b/>
          <w:bCs/>
        </w:rPr>
        <w:t xml:space="preserve">qualitatif</w:t>
      </w:r>
      <w:r>
        <w:t xml:space="preserve"> de </w:t>
      </w:r>
      <w:r>
        <w:rPr>
          <w:b/>
          <w:bCs/>
        </w:rPr>
        <w:t xml:space="preserve">chaque</w:t>
      </w:r>
      <w:r>
        <w:t xml:space="preserve"> option », puis « </w:t>
      </w:r>
      <w:r>
        <w:rPr>
          <w:b/>
          <w:bCs/>
        </w:rPr>
        <w:t xml:space="preserve">concluez</w:t>
      </w:r>
      <w:r>
        <w:t xml:space="preserve"> ». Le correcteur attend donc quatre blocs : chiffrage A, chiffrage B, comparaison qualitative, conclusion tranchée. Une réponse purement chiffrée ou purement littéraire est, dans les deux cas, une demi-réponse.</w:t>
      </w:r>
    </w:p>
    <w:p>
      <w:pPr>
        <w:spacing w:after="160" w:before="0" w:line="276"/>
        <w:jc w:val="both"/>
      </w:pPr>
      <w:r>
        <w:t xml:space="preserve">Le point délicat du chiffrage B : « 70 % de sa </w:t>
      </w:r>
      <w:r>
        <w:rPr>
          <w:b/>
          <w:bCs/>
        </w:rPr>
        <w:t xml:space="preserve">valeur de vente HT</w:t>
      </w:r>
      <w:r>
        <w:t xml:space="preserve"> actuelle » — il faut donc d'abord convertir les prix de vente TTC de l'annexe 9 en HT (÷ 1,2), valoriser le stock, puis appliquer 70 %. Deux conversions successives que beaucoup de candidats télescopent.</w:t>
      </w:r>
    </w:p>
    <w:p>
      <w:pPr>
        <w:pStyle w:val="Heading3"/>
        <w:spacing w:after="120" w:before="220"/>
      </w:pPr>
      <w:r>
        <w:rPr>
          <w:b/>
          <w:bCs/>
          <w:color w:val="2E5FA3"/>
        </w:rPr>
        <w:t xml:space="preserve">Compétence et notion du référentiel mobilisées</w:t>
      </w:r>
    </w:p>
    <w:p>
      <w:pPr>
        <w:pStyle w:val="ListParagraph"/>
        <w:numPr>
          <w:ilvl w:val="0"/>
          <w:numId w:val="2"/>
        </w:numPr>
        <w:spacing w:after="80" w:line="264"/>
        <w:jc w:val="both"/>
      </w:pPr>
      <w:r>
        <w:rPr>
          <w:b/>
          <w:bCs/>
        </w:rPr>
        <w:t xml:space="preserve">Bloc 3 – « Gérer les opérations courantes »</w:t>
      </w:r>
      <w:r>
        <w:t xml:space="preserve"> (gérer les stocks, suivre la trésorerie) et </w:t>
      </w:r>
      <w:r>
        <w:rPr>
          <w:b/>
          <w:bCs/>
        </w:rPr>
        <w:t xml:space="preserve">« Analyser les performances »</w:t>
      </w:r>
      <w:r>
        <w:t xml:space="preserve"> (proposer des mesures correctrices, rendre compte). Critères d'évaluation : « le suivi des stocks est rigoureux », « les mesures correctrices sont cohérentes ».</w:t>
      </w:r>
    </w:p>
    <w:p>
      <w:pPr>
        <w:pStyle w:val="ListParagraph"/>
        <w:numPr>
          <w:ilvl w:val="0"/>
          <w:numId w:val="2"/>
        </w:numPr>
        <w:spacing w:after="80" w:line="264"/>
        <w:jc w:val="both"/>
      </w:pPr>
      <w:r>
        <w:rPr>
          <w:b/>
          <w:bCs/>
        </w:rPr>
        <w:t xml:space="preserve">Savoirs associés</w:t>
      </w:r>
      <w:r>
        <w:t xml:space="preserve"> : « les stocks et les approvisionnements » (les enjeux stratégiques de la gestion des stocks, l'impact de la rotation des stocks sur la rentabilité), « les coûts et les marges », « la trésorerie ».</w:t>
      </w:r>
    </w:p>
    <w:p>
      <w:pPr>
        <w:pStyle w:val="ListParagraph"/>
        <w:numPr>
          <w:ilvl w:val="0"/>
          <w:numId w:val="2"/>
        </w:numPr>
        <w:spacing w:after="80" w:line="264"/>
        <w:jc w:val="both"/>
      </w:pPr>
      <w:r>
        <w:rPr>
          <w:b/>
          <w:bCs/>
        </w:rPr>
        <w:t xml:space="preserve">Objectif professionnel</w:t>
      </w:r>
      <w:r>
        <w:t xml:space="preserve"> : arbitrer entre rentabilité et liquidité — l'arbitrage le plus fréquent de la vie d'une unité commerciale.</w:t>
      </w:r>
    </w:p>
    <w:p>
      <w:pPr>
        <w:pStyle w:val="Heading3"/>
        <w:spacing w:after="120" w:before="220"/>
      </w:pPr>
      <w:r>
        <w:rPr>
          <w:b/>
          <w:bCs/>
          <w:color w:val="2E5FA3"/>
        </w:rPr>
        <w:t xml:space="preserve">Rappel de cours</w:t>
      </w:r>
    </w:p>
    <w:p>
      <w:pPr>
        <w:spacing w:after="160" w:before="0" w:line="276"/>
        <w:jc w:val="both"/>
      </w:pPr>
      <w:r>
        <w:rPr>
          <w:b/>
          <w:bCs/>
        </w:rPr>
        <w:t xml:space="preserve">Évaluer une option de déstockage</w:t>
      </w:r>
      <w:r>
        <w:t xml:space="preserve">, c'est comparer les </w:t>
      </w:r>
      <w:r>
        <w:rPr>
          <w:b/>
          <w:bCs/>
        </w:rPr>
        <w:t xml:space="preserve">recettes</w:t>
      </w:r>
      <w:r>
        <w:t xml:space="preserve"> (produits de la vente), éventuellement les </w:t>
      </w:r>
      <w:r>
        <w:rPr>
          <w:b/>
          <w:bCs/>
        </w:rPr>
        <w:t xml:space="preserve">marges</w:t>
      </w:r>
      <w:r>
        <w:t xml:space="preserve"> (recettes − coût d'achat du stock), et les </w:t>
      </w:r>
      <w:r>
        <w:rPr>
          <w:b/>
          <w:bCs/>
        </w:rPr>
        <w:t xml:space="preserve">effets non financiers</w:t>
      </w:r>
      <w:r>
        <w:t xml:space="preserve"> : délai et certitude d'encaissement, image du point de vente, animation commerciale, occupation du linéaire, coûts cachés (étiquetage, publicité, démarque inconnue).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t xml:space="preserve">Recette promotion (HT) = Σ (quantités en stock × prix promo HT)</w:t>
            </w:r>
          </w:p>
          <w:p>
            <w:pPr>
              <w:spacing w:after="80" w:before="0" w:line="264"/>
            </w:pPr>
            <w:r>
              <w:t xml:space="preserve">Recette grossiste (HT) = 70 % × Σ (quantités × prix de vente HT actuels), avec PV HT = PV TTC / 1,2</w:t>
            </w:r>
          </w:p>
          <w:p>
            <w:pPr>
              <w:spacing w:after="40" w:before="0" w:line="264"/>
            </w:pPr>
            <w:r>
              <w:t xml:space="preserve">Comparer des recettes impose une base homogène : tout en HT (ou tout en TTC), jamais un mélange.</w:t>
            </w:r>
          </w:p>
        </w:tc>
      </w:tr>
    </w:tbl>
    <w:p>
      <w:pPr>
        <w:spacing w:after="100"/>
      </w:pPr>
    </w:p>
    <w:p>
      <w:pPr>
        <w:spacing w:after="160" w:before="0" w:line="276"/>
        <w:jc w:val="both"/>
      </w:pPr>
      <w:r>
        <w:rPr>
          <w:b/>
          <w:bCs/>
        </w:rPr>
        <w:t xml:space="preserve">Le facteur temps et le facteur risque</w:t>
      </w:r>
      <w:r>
        <w:t xml:space="preserve"> sont la vraie matière qualitative : la promotion rapporte plus </w:t>
      </w:r>
      <w:r>
        <w:rPr>
          <w:b/>
          <w:bCs/>
        </w:rPr>
        <w:t xml:space="preserve">si</w:t>
      </w:r>
      <w:r>
        <w:t xml:space="preserve"> tout se vend, dans un délai incertain (l'énoncé signale d'ailleurs que la décision se prend « début juin », or les soins n'atteignent que 75 % de leurs objectifs — l'écoulement n'a rien de garanti) ; le grossiste rapporte moins mais </w:t>
      </w:r>
      <w:r>
        <w:rPr>
          <w:b/>
          <w:bCs/>
        </w:rPr>
        <w:t xml:space="preserve">tout de suite et à coup sûr</w:t>
      </w:r>
      <w:r>
        <w:t xml:space="preserve">. En finance d'entreprise, on dirait que l'option B échange de la marge contre de la liquidité et de la certitude.</w:t>
      </w:r>
    </w:p>
    <w:p>
      <w:pPr>
        <w:pStyle w:val="Heading3"/>
        <w:spacing w:after="120" w:before="220"/>
      </w:pPr>
      <w:r>
        <w:rPr>
          <w:b/>
          <w:bCs/>
          <w:color w:val="2E5FA3"/>
        </w:rPr>
        <w:t xml:space="preserve">Méthode à appliquer</w:t>
      </w:r>
    </w:p>
    <w:p>
      <w:pPr>
        <w:pStyle w:val="ListParagraph"/>
        <w:numPr>
          <w:ilvl w:val="0"/>
          <w:numId w:val="2"/>
        </w:numPr>
        <w:spacing w:after="80" w:line="264"/>
        <w:jc w:val="both"/>
      </w:pPr>
      <w:r>
        <w:rPr>
          <w:b/>
          <w:bCs/>
        </w:rPr>
        <w:t xml:space="preserve">Étape 1</w:t>
      </w:r>
      <w:r>
        <w:t xml:space="preserve"> – Chiffrer l'option A : quantités × prix promo (de la 3.2), en HT pour la comparaison (prix promo HT = PA × 1,25).</w:t>
      </w:r>
    </w:p>
    <w:p>
      <w:pPr>
        <w:pStyle w:val="ListParagraph"/>
        <w:numPr>
          <w:ilvl w:val="0"/>
          <w:numId w:val="2"/>
        </w:numPr>
        <w:spacing w:after="80" w:line="264"/>
        <w:jc w:val="both"/>
      </w:pPr>
      <w:r>
        <w:rPr>
          <w:b/>
          <w:bCs/>
        </w:rPr>
        <w:t xml:space="preserve">Étape 2</w:t>
      </w:r>
      <w:r>
        <w:t xml:space="preserve"> – Chiffrer l'option B : convertir les PV TTC actuels en HT, valoriser le stock, appliquer 70 %.</w:t>
      </w:r>
    </w:p>
    <w:p>
      <w:pPr>
        <w:pStyle w:val="ListParagraph"/>
        <w:numPr>
          <w:ilvl w:val="0"/>
          <w:numId w:val="2"/>
        </w:numPr>
        <w:spacing w:after="80" w:line="264"/>
        <w:jc w:val="both"/>
      </w:pPr>
      <w:r>
        <w:rPr>
          <w:b/>
          <w:bCs/>
        </w:rPr>
        <w:t xml:space="preserve">Étape 3</w:t>
      </w:r>
      <w:r>
        <w:t xml:space="preserve"> – (Approfondissement) Calculer la marge de chaque option en déduisant le coût d'achat du stock (annexe 8).</w:t>
      </w:r>
    </w:p>
    <w:p>
      <w:pPr>
        <w:pStyle w:val="ListParagraph"/>
        <w:numPr>
          <w:ilvl w:val="0"/>
          <w:numId w:val="2"/>
        </w:numPr>
        <w:spacing w:after="80" w:line="264"/>
        <w:jc w:val="both"/>
      </w:pPr>
      <w:r>
        <w:rPr>
          <w:b/>
          <w:bCs/>
        </w:rPr>
        <w:t xml:space="preserve">Étape 4</w:t>
      </w:r>
      <w:r>
        <w:t xml:space="preserve"> – Dresser le bilan qualitatif : délai, certitude, trésorerie, image, animation, coûts induits.</w:t>
      </w:r>
    </w:p>
    <w:p>
      <w:pPr>
        <w:pStyle w:val="ListParagraph"/>
        <w:numPr>
          <w:ilvl w:val="0"/>
          <w:numId w:val="2"/>
        </w:numPr>
        <w:spacing w:after="80" w:line="264"/>
        <w:jc w:val="both"/>
      </w:pPr>
      <w:r>
        <w:rPr>
          <w:b/>
          <w:bCs/>
        </w:rPr>
        <w:t xml:space="preserve">Étape 5</w:t>
      </w:r>
      <w:r>
        <w:t xml:space="preserve"> – Conclure en pesant l'écart quantitatif contre les avantages qualitatifs, à la lumière du contexte (trésorerie tendue).</w:t>
      </w:r>
    </w:p>
    <w:p>
      <w:pPr>
        <w:pStyle w:val="Heading3"/>
        <w:spacing w:after="120" w:before="220"/>
      </w:pPr>
      <w:r>
        <w:rPr>
          <w:b/>
          <w:bCs/>
          <w:color w:val="2E5FA3"/>
        </w:rPr>
        <w:t xml:space="preserve">Correction détaillée</w:t>
      </w:r>
    </w:p>
    <w:p>
      <w:pPr>
        <w:spacing w:after="160" w:before="0" w:line="276"/>
        <w:jc w:val="both"/>
      </w:pPr>
      <w:r>
        <w:rPr>
          <w:b/>
          <w:bCs/>
        </w:rPr>
        <w:t xml:space="preserve">Option A – Opération promotionnelle (prix de la question 3.2)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00"/>
        <w:gridCol w:w="1200"/>
        <w:gridCol w:w="1400"/>
        <w:gridCol w:w="1500"/>
        <w:gridCol w:w="1600"/>
        <w:gridCol w:w="1360"/>
      </w:tblGrid>
      <w:tr>
        <w:trPr>
          <w:tblHeader/>
        </w:trPr>
        <w:tc>
          <w:tcPr>
            <w:tcW w:type="dxa" w:w="23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left"/>
            </w:pPr>
            <w:r>
              <w:rPr>
                <w:b/>
                <w:bCs/>
                <w:color w:val="FFFFFF"/>
                <w:sz w:val="20"/>
                <w:szCs w:val="20"/>
              </w:rPr>
              <w:t xml:space="preserve">Produit</w:t>
            </w:r>
          </w:p>
        </w:tc>
        <w:tc>
          <w:tcPr>
            <w:tcW w:type="dxa" w:w="12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Stock (annexe 9)</w:t>
            </w:r>
          </w:p>
        </w:tc>
        <w:tc>
          <w:tcPr>
            <w:tcW w:type="dxa" w:w="14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PV promo TTC</w:t>
            </w:r>
          </w:p>
        </w:tc>
        <w:tc>
          <w:tcPr>
            <w:tcW w:type="dxa" w:w="15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Recette TTC</w:t>
            </w:r>
          </w:p>
        </w:tc>
        <w:tc>
          <w:tcPr>
            <w:tcW w:type="dxa" w:w="16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PV promo HT (÷1,2)</w:t>
            </w:r>
          </w:p>
        </w:tc>
        <w:tc>
          <w:tcPr>
            <w:tcW w:type="dxa" w:w="136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Recette HT</w:t>
            </w:r>
          </w:p>
        </w:tc>
      </w:tr>
      <w:tr>
        <w:tc>
          <w:tcPr>
            <w:tcW w:type="dxa" w:w="23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b w:val="false"/>
                <w:bCs w:val="false"/>
                <w:color w:val="000000"/>
                <w:sz w:val="20"/>
                <w:szCs w:val="20"/>
              </w:rPr>
              <w:t xml:space="preserve">Guêtre thérapeutique</w:t>
            </w:r>
          </w:p>
        </w:tc>
        <w:tc>
          <w:tcPr>
            <w:tcW w:type="dxa" w:w="12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15</w:t>
            </w:r>
          </w:p>
        </w:tc>
        <w:tc>
          <w:tcPr>
            <w:tcW w:type="dxa" w:w="14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49,80 €</w:t>
            </w:r>
          </w:p>
        </w:tc>
        <w:tc>
          <w:tcPr>
            <w:tcW w:type="dxa" w:w="15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747,00 €</w:t>
            </w:r>
          </w:p>
        </w:tc>
        <w:tc>
          <w:tcPr>
            <w:tcW w:type="dxa" w:w="16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41,50 €</w:t>
            </w:r>
          </w:p>
        </w:tc>
        <w:tc>
          <w:tcPr>
            <w:tcW w:type="dxa" w:w="136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622,50 €</w:t>
            </w:r>
          </w:p>
        </w:tc>
      </w:tr>
      <w:tr>
        <w:tc>
          <w:tcPr>
            <w:tcW w:type="dxa" w:w="23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b w:val="false"/>
                <w:bCs w:val="false"/>
                <w:color w:val="000000"/>
                <w:sz w:val="20"/>
                <w:szCs w:val="20"/>
              </w:rPr>
              <w:t xml:space="preserve">Sac de bonbons</w:t>
            </w:r>
          </w:p>
        </w:tc>
        <w:tc>
          <w:tcPr>
            <w:tcW w:type="dxa" w:w="12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30</w:t>
            </w:r>
          </w:p>
        </w:tc>
        <w:tc>
          <w:tcPr>
            <w:tcW w:type="dxa" w:w="14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4,94 €</w:t>
            </w:r>
          </w:p>
        </w:tc>
        <w:tc>
          <w:tcPr>
            <w:tcW w:type="dxa" w:w="15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148,20 €</w:t>
            </w:r>
          </w:p>
        </w:tc>
        <w:tc>
          <w:tcPr>
            <w:tcW w:type="dxa" w:w="16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4,1125 €</w:t>
            </w:r>
          </w:p>
        </w:tc>
        <w:tc>
          <w:tcPr>
            <w:tcW w:type="dxa" w:w="136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123,38 €</w:t>
            </w:r>
          </w:p>
        </w:tc>
      </w:tr>
      <w:tr>
        <w:tc>
          <w:tcPr>
            <w:tcW w:type="dxa" w:w="23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b w:val="false"/>
                <w:bCs w:val="false"/>
                <w:color w:val="000000"/>
                <w:sz w:val="20"/>
                <w:szCs w:val="20"/>
              </w:rPr>
              <w:t xml:space="preserve">Pommade à l'argent</w:t>
            </w:r>
          </w:p>
        </w:tc>
        <w:tc>
          <w:tcPr>
            <w:tcW w:type="dxa" w:w="12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80</w:t>
            </w:r>
          </w:p>
        </w:tc>
        <w:tc>
          <w:tcPr>
            <w:tcW w:type="dxa" w:w="14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17,85 €</w:t>
            </w:r>
          </w:p>
        </w:tc>
        <w:tc>
          <w:tcPr>
            <w:tcW w:type="dxa" w:w="15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1 428,00 €</w:t>
            </w:r>
          </w:p>
        </w:tc>
        <w:tc>
          <w:tcPr>
            <w:tcW w:type="dxa" w:w="16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14,875 €</w:t>
            </w:r>
          </w:p>
        </w:tc>
        <w:tc>
          <w:tcPr>
            <w:tcW w:type="dxa" w:w="136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1 190,00 €</w:t>
            </w:r>
          </w:p>
        </w:tc>
      </w:tr>
      <w:tr>
        <w:tc>
          <w:tcPr>
            <w:tcW w:type="dxa" w:w="230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left"/>
            </w:pPr>
            <w:r>
              <w:rPr>
                <w:b/>
                <w:bCs/>
                <w:color w:val="000000"/>
                <w:sz w:val="20"/>
                <w:szCs w:val="20"/>
              </w:rPr>
              <w:t xml:space="preserve">TOTAL</w:t>
            </w:r>
          </w:p>
        </w:tc>
        <w:tc>
          <w:tcPr>
            <w:tcW w:type="dxa" w:w="120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center"/>
            </w:pPr>
            <w:r>
              <w:rPr>
                <w:b/>
                <w:bCs/>
                <w:color w:val="000000"/>
                <w:sz w:val="20"/>
                <w:szCs w:val="20"/>
              </w:rPr>
              <w:t xml:space="preserve">125</w:t>
            </w:r>
          </w:p>
        </w:tc>
        <w:tc>
          <w:tcPr>
            <w:tcW w:type="dxa" w:w="140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center"/>
            </w:pPr>
            <w:r>
              <w:rPr>
                <w:b/>
                <w:bCs/>
                <w:color w:val="000000"/>
                <w:sz w:val="20"/>
                <w:szCs w:val="20"/>
              </w:rPr>
              <w:t xml:space="preserve">—</w:t>
            </w:r>
          </w:p>
        </w:tc>
        <w:tc>
          <w:tcPr>
            <w:tcW w:type="dxa" w:w="150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center"/>
            </w:pPr>
            <w:r>
              <w:rPr>
                <w:b/>
                <w:bCs/>
                <w:color w:val="000000"/>
                <w:sz w:val="20"/>
                <w:szCs w:val="20"/>
              </w:rPr>
              <w:t xml:space="preserve">2 323,20 €</w:t>
            </w:r>
          </w:p>
        </w:tc>
        <w:tc>
          <w:tcPr>
            <w:tcW w:type="dxa" w:w="160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center"/>
            </w:pPr>
            <w:r>
              <w:rPr>
                <w:b/>
                <w:bCs/>
                <w:color w:val="000000"/>
                <w:sz w:val="20"/>
                <w:szCs w:val="20"/>
              </w:rPr>
              <w:t xml:space="preserve">—</w:t>
            </w:r>
          </w:p>
        </w:tc>
        <w:tc>
          <w:tcPr>
            <w:tcW w:type="dxa" w:w="136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center"/>
            </w:pPr>
            <w:r>
              <w:rPr>
                <w:b/>
                <w:bCs/>
                <w:color w:val="000000"/>
                <w:sz w:val="20"/>
                <w:szCs w:val="20"/>
              </w:rPr>
              <w:t xml:space="preserve">1 935,88 €</w:t>
            </w:r>
          </w:p>
        </w:tc>
      </w:tr>
    </w:tbl>
    <w:p>
      <w:pPr>
        <w:spacing w:after="100"/>
      </w:pPr>
    </w:p>
    <w:p>
      <w:pPr>
        <w:spacing w:after="160" w:before="0" w:line="276"/>
        <w:jc w:val="both"/>
      </w:pPr>
      <w:r>
        <w:rPr>
          <w:b/>
          <w:bCs/>
        </w:rPr>
        <w:t xml:space="preserve">Option B – Reprise par le grossiste (70 % de la valeur de vente HT actuelle)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00"/>
        <w:gridCol w:w="900"/>
        <w:gridCol w:w="1400"/>
        <w:gridCol w:w="1600"/>
        <w:gridCol w:w="1900"/>
        <w:gridCol w:w="1260"/>
      </w:tblGrid>
      <w:tr>
        <w:trPr>
          <w:tblHeader/>
        </w:trPr>
        <w:tc>
          <w:tcPr>
            <w:tcW w:type="dxa" w:w="23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left"/>
            </w:pPr>
            <w:r>
              <w:rPr>
                <w:b/>
                <w:bCs/>
                <w:color w:val="FFFFFF"/>
                <w:sz w:val="20"/>
                <w:szCs w:val="20"/>
              </w:rPr>
              <w:t xml:space="preserve">Produit</w:t>
            </w:r>
          </w:p>
        </w:tc>
        <w:tc>
          <w:tcPr>
            <w:tcW w:type="dxa" w:w="9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Stock</w:t>
            </w:r>
          </w:p>
        </w:tc>
        <w:tc>
          <w:tcPr>
            <w:tcW w:type="dxa" w:w="14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PV TTC actuel</w:t>
            </w:r>
          </w:p>
        </w:tc>
        <w:tc>
          <w:tcPr>
            <w:tcW w:type="dxa" w:w="16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PV HT actuel (÷1,2)</w:t>
            </w:r>
          </w:p>
        </w:tc>
        <w:tc>
          <w:tcPr>
            <w:tcW w:type="dxa" w:w="19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Valeur de vente HT du stock</w:t>
            </w:r>
          </w:p>
        </w:tc>
        <w:tc>
          <w:tcPr>
            <w:tcW w:type="dxa" w:w="126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Reprise à 70 %</w:t>
            </w:r>
          </w:p>
        </w:tc>
      </w:tr>
      <w:tr>
        <w:tc>
          <w:tcPr>
            <w:tcW w:type="dxa" w:w="23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b w:val="false"/>
                <w:bCs w:val="false"/>
                <w:color w:val="000000"/>
                <w:sz w:val="20"/>
                <w:szCs w:val="20"/>
              </w:rPr>
              <w:t xml:space="preserve">Guêtre thérapeutique</w:t>
            </w:r>
          </w:p>
        </w:tc>
        <w:tc>
          <w:tcPr>
            <w:tcW w:type="dxa" w:w="9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15</w:t>
            </w:r>
          </w:p>
        </w:tc>
        <w:tc>
          <w:tcPr>
            <w:tcW w:type="dxa" w:w="14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66,90 €</w:t>
            </w:r>
          </w:p>
        </w:tc>
        <w:tc>
          <w:tcPr>
            <w:tcW w:type="dxa" w:w="16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55,75 €</w:t>
            </w:r>
          </w:p>
        </w:tc>
        <w:tc>
          <w:tcPr>
            <w:tcW w:type="dxa" w:w="19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836,25 €</w:t>
            </w:r>
          </w:p>
        </w:tc>
        <w:tc>
          <w:tcPr>
            <w:tcW w:type="dxa" w:w="126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585,38 €</w:t>
            </w:r>
          </w:p>
        </w:tc>
      </w:tr>
      <w:tr>
        <w:tc>
          <w:tcPr>
            <w:tcW w:type="dxa" w:w="23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b w:val="false"/>
                <w:bCs w:val="false"/>
                <w:color w:val="000000"/>
                <w:sz w:val="20"/>
                <w:szCs w:val="20"/>
              </w:rPr>
              <w:t xml:space="preserve">Sac de bonbons</w:t>
            </w:r>
          </w:p>
        </w:tc>
        <w:tc>
          <w:tcPr>
            <w:tcW w:type="dxa" w:w="9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30</w:t>
            </w:r>
          </w:p>
        </w:tc>
        <w:tc>
          <w:tcPr>
            <w:tcW w:type="dxa" w:w="14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6,50 €</w:t>
            </w:r>
          </w:p>
        </w:tc>
        <w:tc>
          <w:tcPr>
            <w:tcW w:type="dxa" w:w="16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5,4167 €</w:t>
            </w:r>
          </w:p>
        </w:tc>
        <w:tc>
          <w:tcPr>
            <w:tcW w:type="dxa" w:w="19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162,50 €</w:t>
            </w:r>
          </w:p>
        </w:tc>
        <w:tc>
          <w:tcPr>
            <w:tcW w:type="dxa" w:w="126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113,75 €</w:t>
            </w:r>
          </w:p>
        </w:tc>
      </w:tr>
      <w:tr>
        <w:tc>
          <w:tcPr>
            <w:tcW w:type="dxa" w:w="23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b w:val="false"/>
                <w:bCs w:val="false"/>
                <w:color w:val="000000"/>
                <w:sz w:val="20"/>
                <w:szCs w:val="20"/>
              </w:rPr>
              <w:t xml:space="preserve">Pommade à l'argent</w:t>
            </w:r>
          </w:p>
        </w:tc>
        <w:tc>
          <w:tcPr>
            <w:tcW w:type="dxa" w:w="9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80</w:t>
            </w:r>
          </w:p>
        </w:tc>
        <w:tc>
          <w:tcPr>
            <w:tcW w:type="dxa" w:w="14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23,90 €</w:t>
            </w:r>
          </w:p>
        </w:tc>
        <w:tc>
          <w:tcPr>
            <w:tcW w:type="dxa" w:w="16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19,9167 €</w:t>
            </w:r>
          </w:p>
        </w:tc>
        <w:tc>
          <w:tcPr>
            <w:tcW w:type="dxa" w:w="19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1 593,33 €</w:t>
            </w:r>
          </w:p>
        </w:tc>
        <w:tc>
          <w:tcPr>
            <w:tcW w:type="dxa" w:w="126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b w:val="false"/>
                <w:bCs w:val="false"/>
                <w:color w:val="000000"/>
                <w:sz w:val="20"/>
                <w:szCs w:val="20"/>
              </w:rPr>
              <w:t xml:space="preserve">1 115,33 €</w:t>
            </w:r>
          </w:p>
        </w:tc>
      </w:tr>
      <w:tr>
        <w:tc>
          <w:tcPr>
            <w:tcW w:type="dxa" w:w="230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left"/>
            </w:pPr>
            <w:r>
              <w:rPr>
                <w:b/>
                <w:bCs/>
                <w:color w:val="000000"/>
                <w:sz w:val="20"/>
                <w:szCs w:val="20"/>
              </w:rPr>
              <w:t xml:space="preserve">TOTAL</w:t>
            </w:r>
          </w:p>
        </w:tc>
        <w:tc>
          <w:tcPr>
            <w:tcW w:type="dxa" w:w="90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center"/>
            </w:pPr>
            <w:r>
              <w:rPr>
                <w:b/>
                <w:bCs/>
                <w:color w:val="000000"/>
                <w:sz w:val="20"/>
                <w:szCs w:val="20"/>
              </w:rPr>
              <w:t xml:space="preserve">125</w:t>
            </w:r>
          </w:p>
        </w:tc>
        <w:tc>
          <w:tcPr>
            <w:tcW w:type="dxa" w:w="140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center"/>
            </w:pPr>
            <w:r>
              <w:rPr>
                <w:b/>
                <w:bCs/>
                <w:color w:val="000000"/>
                <w:sz w:val="20"/>
                <w:szCs w:val="20"/>
              </w:rPr>
              <w:t xml:space="preserve">—</w:t>
            </w:r>
          </w:p>
        </w:tc>
        <w:tc>
          <w:tcPr>
            <w:tcW w:type="dxa" w:w="160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center"/>
            </w:pPr>
            <w:r>
              <w:rPr>
                <w:b/>
                <w:bCs/>
                <w:color w:val="000000"/>
                <w:sz w:val="20"/>
                <w:szCs w:val="20"/>
              </w:rPr>
              <w:t xml:space="preserve">—</w:t>
            </w:r>
          </w:p>
        </w:tc>
        <w:tc>
          <w:tcPr>
            <w:tcW w:type="dxa" w:w="190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center"/>
            </w:pPr>
            <w:r>
              <w:rPr>
                <w:b/>
                <w:bCs/>
                <w:color w:val="000000"/>
                <w:sz w:val="20"/>
                <w:szCs w:val="20"/>
              </w:rPr>
              <w:t xml:space="preserve">2 592,08 €</w:t>
            </w:r>
          </w:p>
        </w:tc>
        <w:tc>
          <w:tcPr>
            <w:tcW w:type="dxa" w:w="1260"/>
            <w:tcBorders>
              <w:top w:val="single" w:color="8EAADB" w:sz="4"/>
              <w:left w:val="single" w:color="8EAADB" w:sz="4"/>
              <w:bottom w:val="single" w:color="8EAADB" w:sz="4"/>
              <w:right w:val="single" w:color="8EAADB" w:sz="4"/>
            </w:tcBorders>
            <w:shd w:fill="DCE6F1" w:val="clear"/>
            <w:tcMar>
              <w:top w:type="dxa" w:w="60"/>
              <w:left w:type="dxa" w:w="100"/>
              <w:bottom w:type="dxa" w:w="60"/>
              <w:right w:type="dxa" w:w="100"/>
            </w:tcMar>
            <w:vAlign w:val="center"/>
          </w:tcPr>
          <w:p>
            <w:pPr>
              <w:spacing w:after="20" w:before="20"/>
              <w:jc w:val="center"/>
            </w:pPr>
            <w:r>
              <w:rPr>
                <w:b/>
                <w:bCs/>
                <w:color w:val="000000"/>
                <w:sz w:val="20"/>
                <w:szCs w:val="20"/>
              </w:rPr>
              <w:t xml:space="preserve">1 814,46 €</w:t>
            </w:r>
          </w:p>
        </w:tc>
      </w:tr>
    </w:tbl>
    <w:p>
      <w:pPr>
        <w:spacing w:after="100"/>
      </w:pPr>
    </w:p>
    <w:p>
      <w:pPr>
        <w:spacing w:after="160" w:before="0" w:line="276"/>
        <w:jc w:val="both"/>
      </w:pPr>
      <w:r>
        <w:rPr>
          <w:b/>
          <w:bCs/>
        </w:rPr>
        <w:t xml:space="preserve">Comparaison quantitative :</w:t>
      </w:r>
    </w:p>
    <w:p>
      <w:pPr>
        <w:pStyle w:val="ListParagraph"/>
        <w:numPr>
          <w:ilvl w:val="0"/>
          <w:numId w:val="2"/>
        </w:numPr>
        <w:spacing w:after="80" w:line="264"/>
        <w:jc w:val="both"/>
      </w:pPr>
      <w:r>
        <w:t xml:space="preserve">Recette HT : promotion </w:t>
      </w:r>
      <w:r>
        <w:rPr>
          <w:b/>
          <w:bCs/>
        </w:rPr>
        <w:t xml:space="preserve">1 935,88 €</w:t>
      </w:r>
      <w:r>
        <w:t xml:space="preserve"> contre grossiste </w:t>
      </w:r>
      <w:r>
        <w:rPr>
          <w:b/>
          <w:bCs/>
        </w:rPr>
        <w:t xml:space="preserve">1 814,46 €</w:t>
      </w:r>
      <w:r>
        <w:t xml:space="preserve">, soit un avantage de </w:t>
      </w:r>
      <w:r>
        <w:rPr>
          <w:b/>
          <w:bCs/>
        </w:rPr>
        <w:t xml:space="preserve">+ 121,42 €</w:t>
      </w:r>
      <w:r>
        <w:t xml:space="preserve"> pour la promotion (environ + 6,7 %).</w:t>
      </w:r>
    </w:p>
    <w:p>
      <w:pPr>
        <w:pStyle w:val="ListParagraph"/>
        <w:numPr>
          <w:ilvl w:val="0"/>
          <w:numId w:val="2"/>
        </w:numPr>
        <w:spacing w:after="80" w:line="264"/>
        <w:jc w:val="both"/>
      </w:pPr>
      <w:r>
        <w:t xml:space="preserve">Pour mémoire, la valeur d'achat du stock (annexe 8) est de 15 × 33,20 + 30 × 3,29 + 80 × 11,90 = </w:t>
      </w:r>
      <w:r>
        <w:rPr>
          <w:b/>
          <w:bCs/>
        </w:rPr>
        <w:t xml:space="preserve">1 548,70 € HT</w:t>
      </w:r>
      <w:r>
        <w:t xml:space="preserve"> : la promotion dégagerait une marge de 387,18 €, la reprise grossiste une marge de 265,76 €. </w:t>
      </w:r>
      <w:r>
        <w:rPr>
          <w:b/>
          <w:bCs/>
        </w:rPr>
        <w:t xml:space="preserve">Aucune option ne vend à perte</w:t>
      </w:r>
      <w:r>
        <w:t xml:space="preserve"> — la reprise à 70 % reste au-dessus du coût d'achat, ce qui rend l'arbitrage réellement ouvert.</w:t>
      </w:r>
    </w:p>
    <w:p>
      <w:pPr>
        <w:spacing w:after="100"/>
      </w:pPr>
    </w:p>
    <w:p>
      <w:pPr>
        <w:spacing w:after="160" w:before="0" w:line="276"/>
        <w:jc w:val="both"/>
      </w:pPr>
      <w:r>
        <w:rPr>
          <w:b/>
          <w:bCs/>
        </w:rPr>
        <w:t xml:space="preserve">Comparaison qualitative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rPr>
          <w:tblHeader/>
        </w:trPr>
        <w:tc>
          <w:tcPr>
            <w:tcW w:type="dxa" w:w="24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left"/>
            </w:pPr>
            <w:r>
              <w:rPr>
                <w:b/>
                <w:bCs/>
                <w:color w:val="FFFFFF"/>
                <w:sz w:val="20"/>
                <w:szCs w:val="20"/>
              </w:rPr>
              <w:t xml:space="preserve">Critère qualitatif</w:t>
            </w:r>
          </w:p>
        </w:tc>
        <w:tc>
          <w:tcPr>
            <w:tcW w:type="dxa" w:w="348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Option A – Promotion</w:t>
            </w:r>
          </w:p>
        </w:tc>
        <w:tc>
          <w:tcPr>
            <w:tcW w:type="dxa" w:w="348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Option B – Grossiste</w:t>
            </w:r>
          </w:p>
        </w:tc>
      </w:tr>
      <w:tr>
        <w:tc>
          <w:tcPr>
            <w:tcW w:type="dxa" w:w="24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Encaissement</w:t>
            </w:r>
          </w:p>
        </w:tc>
        <w:tc>
          <w:tcPr>
            <w:tcW w:type="dxa" w:w="34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Étalé, au rythme (incertain) des ventes</w:t>
            </w:r>
          </w:p>
        </w:tc>
        <w:tc>
          <w:tcPr>
            <w:tcW w:type="dxa" w:w="34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Immédiat et certain — précieux vu la trésorerie de 310 €</w:t>
            </w:r>
          </w:p>
        </w:tc>
      </w:tr>
      <w:tr>
        <w:tc>
          <w:tcPr>
            <w:tcW w:type="dxa" w:w="24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Risque</w:t>
            </w:r>
          </w:p>
        </w:tc>
        <w:tc>
          <w:tcPr>
            <w:tcW w:type="dxa" w:w="34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Invendus possibles (les soins sont à 75 % de leurs objectifs) ; démarque</w:t>
            </w:r>
          </w:p>
        </w:tc>
        <w:tc>
          <w:tcPr>
            <w:tcW w:type="dxa" w:w="34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Nul : reprise de l'ensemble du stock</w:t>
            </w:r>
          </w:p>
        </w:tc>
      </w:tr>
      <w:tr>
        <w:tc>
          <w:tcPr>
            <w:tcW w:type="dxa" w:w="24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Effet commercial</w:t>
            </w:r>
          </w:p>
        </w:tc>
        <w:tc>
          <w:tcPr>
            <w:tcW w:type="dxa" w:w="34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Anime le magasin, crée du trafic, ventes additionnelles sur les autres familles</w:t>
            </w:r>
          </w:p>
        </w:tc>
        <w:tc>
          <w:tcPr>
            <w:tcW w:type="dxa" w:w="34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Aucun ; le stock quitte le magasin</w:t>
            </w:r>
          </w:p>
        </w:tc>
      </w:tr>
      <w:tr>
        <w:tc>
          <w:tcPr>
            <w:tcW w:type="dxa" w:w="24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Linéaire et logistique</w:t>
            </w:r>
          </w:p>
        </w:tc>
        <w:tc>
          <w:tcPr>
            <w:tcW w:type="dxa" w:w="34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Occupe le rayon plusieurs semaines ; coûts d'étiquetage et de communication</w:t>
            </w:r>
          </w:p>
        </w:tc>
        <w:tc>
          <w:tcPr>
            <w:tcW w:type="dxa" w:w="34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Libère immédiatement la place pour la gamme Nacricare</w:t>
            </w:r>
          </w:p>
        </w:tc>
      </w:tr>
      <w:tr>
        <w:tc>
          <w:tcPr>
            <w:tcW w:type="dxa" w:w="24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Image</w:t>
            </w:r>
          </w:p>
        </w:tc>
        <w:tc>
          <w:tcPr>
            <w:tcW w:type="dxa" w:w="34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Positive si présentée comme changement de gamme ; risque « magasin de soldes » si prolongée</w:t>
            </w:r>
          </w:p>
        </w:tc>
        <w:tc>
          <w:tcPr>
            <w:tcW w:type="dxa" w:w="34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Neutre pour le client</w:t>
            </w:r>
          </w:p>
        </w:tc>
      </w:tr>
    </w:tbl>
    <w:p>
      <w:pPr>
        <w:pStyle w:val="Heading3"/>
        <w:spacing w:after="120" w:before="220"/>
      </w:pPr>
      <w:r>
        <w:rPr>
          <w:b/>
          <w:bCs/>
          <w:color w:val="2E5FA3"/>
        </w:rPr>
        <w:t xml:space="preserve">Interprétation du résultat</w:t>
      </w:r>
    </w:p>
    <w:p>
      <w:pPr>
        <w:spacing w:after="160" w:before="0" w:line="276"/>
        <w:jc w:val="both"/>
      </w:pPr>
      <w:r>
        <w:t xml:space="preserve">Le quantitatif donne un </w:t>
      </w:r>
      <w:r>
        <w:rPr>
          <w:b/>
          <w:bCs/>
        </w:rPr>
        <w:t xml:space="preserve">léger avantage à la promotion (+ 121 €)</w:t>
      </w:r>
      <w:r>
        <w:t xml:space="preserve">, mais cet avantage est </w:t>
      </w:r>
      <w:r>
        <w:rPr>
          <w:b/>
          <w:bCs/>
        </w:rPr>
        <w:t xml:space="preserve">conditionnel</w:t>
      </w:r>
      <w:r>
        <w:t xml:space="preserve"> : il suppose que la totalité des 125 articles se vende, dans une famille en sous-performance et à un horizon incertain, avec des coûts d'opération non chiffrés qui absorberaient une partie de l'écart. Le grossiste offre </w:t>
      </w:r>
      <w:r>
        <w:rPr>
          <w:b/>
          <w:bCs/>
        </w:rPr>
        <w:t xml:space="preserve">moins, mais tout de suite et sans risque</w:t>
      </w:r>
      <w:r>
        <w:t xml:space="preserve"> — or le fil rouge du sujet est la fragilité de la trésorerie. Le manager doit donc arbitrer entre 121 € d'espérance de gain et la sécurité d'un encaissement immédiat de 1 814 € (2 177 € TTC) qui reconstitue la trésorerie et libère le linéaire pour la nouvelle gamme Nacricare.</w:t>
      </w:r>
    </w:p>
    <w:p>
      <w:pPr>
        <w:pStyle w:val="Heading3"/>
        <w:spacing w:after="120" w:before="220"/>
      </w:pPr>
      <w:r>
        <w:rPr>
          <w:b/>
          <w:bCs/>
          <w:color w:val="2E5FA3"/>
        </w:rPr>
        <w:t xml:space="preserve">Réponse rédigée attendue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D32" w:sz="6"/>
              <w:left w:val="single" w:color="2E7D32" w:sz="24"/>
              <w:bottom w:val="single" w:color="2E7D32" w:sz="6"/>
              <w:right w:val="single" w:color="2E7D32" w:sz="6"/>
            </w:tcBorders>
            <w:shd w:fill="F2F6FB" w:val="clear"/>
            <w:tcMar>
              <w:top w:type="dxa" w:w="120"/>
              <w:left w:type="dxa" w:w="200"/>
              <w:bottom w:type="dxa" w:w="120"/>
              <w:right w:type="dxa" w:w="200"/>
            </w:tcMar>
          </w:tcPr>
          <w:p>
            <w:pPr>
              <w:spacing w:after="80" w:before="40" w:line="264"/>
            </w:pPr>
            <w:r>
              <w:rPr>
                <w:b/>
                <w:bCs/>
              </w:rPr>
              <w:t xml:space="preserve">Impact quantitatif.</w:t>
            </w:r>
            <w:r>
              <w:t xml:space="preserve"> La promotion générerait une recette de 1 935,88 € HT (2 323,20 € TTC) si l'intégralité du stock est vendue ; la reprise par le grossiste rapporterait 70 % × 2 592,08 € = 1 814,46 € HT, encaissés immédiatement. L'avantage quantitatif de la promotion est de 121,42 € HT (+ 6,7 %). Les deux options couvrent la valeur d'achat du stock (1 548,70 € HT) : aucune ne génère de perte.</w:t>
            </w:r>
          </w:p>
          <w:p>
            <w:pPr>
              <w:spacing w:after="80" w:before="0" w:line="264"/>
            </w:pPr>
            <w:r>
              <w:rPr>
                <w:b/>
                <w:bCs/>
              </w:rPr>
              <w:t xml:space="preserve">Impact qualitatif.</w:t>
            </w:r>
            <w:r>
              <w:t xml:space="preserve"> La promotion anime le point de vente, attire de la clientèle et peut générer des ventes complémentaires, mais son résultat est incertain (risque d'invendus dans une famille déjà en retard de 25 % sur ses objectifs), étalé dans le temps et consommateur de linéaire et d'énergie. La reprise par le grossiste est certaine, immédiate, sans coût, et libère aussitôt la place et la trésorerie pour la nouvelle gamme Nacricare — un atout décisif pour un point de vente dont la trésorerie nette n'est que de 310 €.</w:t>
            </w:r>
          </w:p>
          <w:p>
            <w:pPr>
              <w:spacing w:after="40" w:before="0" w:line="264"/>
            </w:pPr>
            <w:r>
              <w:rPr>
                <w:b/>
                <w:bCs/>
              </w:rPr>
              <w:t xml:space="preserve">Conclusion.</w:t>
            </w:r>
            <w:r>
              <w:t xml:space="preserve"> L'écart quantitatif en faveur de la promotion (121 €) est trop faible et trop incertain pour compenser les avantages de liquidité et de sécurité de la reprise : </w:t>
            </w:r>
            <w:r>
              <w:rPr>
                <w:b/>
                <w:bCs/>
              </w:rPr>
              <w:t xml:space="preserve">je recommande d'accepter l'offre du grossiste</w:t>
            </w:r>
            <w:r>
              <w:t xml:space="preserve">, qui apporte immédiatement environ 2 177 € TTC de trésorerie et permet de réinstaller sans délai l'offre « soins » autour de Nacricare. (Une conclusion inverse, privilégiant la promotion pour ses 121 € de recette supplémentaire et son effet d'animation, est défendable si elle est argumentée : c'est la qualité de l'argumentation qui est notée.)</w:t>
            </w:r>
          </w:p>
        </w:tc>
      </w:tr>
    </w:tbl>
    <w:p>
      <w:pPr>
        <w:pStyle w:val="Heading3"/>
        <w:spacing w:after="120" w:before="220"/>
      </w:pPr>
      <w:r>
        <w:rPr>
          <w:b/>
          <w:bCs/>
          <w:color w:val="2E5FA3"/>
        </w:rPr>
        <w:t xml:space="preserve">Conseils du correcteur</w:t>
      </w:r>
    </w:p>
    <w:p>
      <w:pPr>
        <w:pStyle w:val="ListParagraph"/>
        <w:numPr>
          <w:ilvl w:val="0"/>
          <w:numId w:val="2"/>
        </w:numPr>
        <w:spacing w:after="80" w:line="264"/>
        <w:jc w:val="both"/>
      </w:pPr>
      <w:r>
        <w:rPr>
          <w:b/>
          <w:bCs/>
        </w:rPr>
        <w:t xml:space="preserve">Respectez la structure imposée par la question</w:t>
      </w:r>
      <w:r>
        <w:t xml:space="preserve"> : quantitatif A, quantitatif B, qualitatif, conclusion. Le correcteur coche ces quatre blocs.</w:t>
      </w:r>
    </w:p>
    <w:p>
      <w:pPr>
        <w:pStyle w:val="ListParagraph"/>
        <w:numPr>
          <w:ilvl w:val="0"/>
          <w:numId w:val="2"/>
        </w:numPr>
        <w:spacing w:after="80" w:line="264"/>
        <w:jc w:val="both"/>
      </w:pPr>
      <w:r>
        <w:rPr>
          <w:b/>
          <w:bCs/>
        </w:rPr>
        <w:t xml:space="preserve">« Valeur de vente HT »</w:t>
      </w:r>
      <w:r>
        <w:t xml:space="preserve"> : la conversion TTC → HT avant application des 70 % est le point technique du barème. Montrez la division par 1,2.</w:t>
      </w:r>
    </w:p>
    <w:p>
      <w:pPr>
        <w:pStyle w:val="ListParagraph"/>
        <w:numPr>
          <w:ilvl w:val="0"/>
          <w:numId w:val="2"/>
        </w:numPr>
        <w:spacing w:after="80" w:line="264"/>
        <w:jc w:val="both"/>
      </w:pPr>
      <w:r>
        <w:t xml:space="preserve">Le calcul des </w:t>
      </w:r>
      <w:r>
        <w:rPr>
          <w:b/>
          <w:bCs/>
        </w:rPr>
        <w:t xml:space="preserve">marges</w:t>
      </w:r>
      <w:r>
        <w:t xml:space="preserve"> (via la valeur d'achat du stock, annexe 8) est un approfondissement bienvenu : il prouve qu'aucune option ne détruit de valeur et enrichit la conclusion.</w:t>
      </w:r>
    </w:p>
    <w:p>
      <w:pPr>
        <w:pStyle w:val="ListParagraph"/>
        <w:numPr>
          <w:ilvl w:val="0"/>
          <w:numId w:val="2"/>
        </w:numPr>
        <w:spacing w:after="80" w:line="264"/>
        <w:jc w:val="both"/>
      </w:pPr>
      <w:r>
        <w:rPr>
          <w:b/>
          <w:bCs/>
        </w:rPr>
        <w:t xml:space="preserve">Les deux conclusions sont recevables</w:t>
      </w:r>
      <w:r>
        <w:t xml:space="preserve"> — grossiste (trésorerie, certitude) ou promotion (recette, animation) — mais une conclusion doit exister, être ferme, et peser explicitement le quantitatif contre le qualitatif. Le contexte de trésorerie du sujet plaide plutôt pour le grossiste.</w:t>
      </w:r>
    </w:p>
    <w:p>
      <w:pPr>
        <w:pStyle w:val="ListParagraph"/>
        <w:numPr>
          <w:ilvl w:val="0"/>
          <w:numId w:val="2"/>
        </w:numPr>
        <w:spacing w:after="80" w:line="264"/>
        <w:jc w:val="both"/>
      </w:pPr>
      <w:r>
        <w:t xml:space="preserve">Temps conseillé : </w:t>
      </w:r>
      <w:r>
        <w:rPr>
          <w:b/>
          <w:bCs/>
        </w:rPr>
        <w:t xml:space="preserve">20 minutes</w:t>
      </w:r>
      <w:r>
        <w:t xml:space="preserve">. C'est la question de synthèse du sujet : soignez-la, elle porte souvent une part importante du barème du dossier.</w:t>
      </w:r>
    </w:p>
    <w:p>
      <w:pPr>
        <w:pBdr>
          <w:left w:val="single" w:color="2E5FA3" w:sz="18" w:space="8"/>
        </w:pBdr>
        <w:spacing w:after="160" w:before="60" w:line="276"/>
        <w:ind w:left="360"/>
      </w:pPr>
      <w:r>
        <w:rPr>
          <w:i/>
          <w:iCs/>
          <w:color w:val="2E5FA3"/>
        </w:rPr>
        <w:t xml:space="preserve">Voici le réflexe du gestionnaire que cette question veut tester : un gain espéré n'est pas un gain acquis. 1 936 € « si tout se vend » contre 1 814 € « signés demain matin » : quand la trésorerie est à 310 €, la question contient sa réponse — mais c'est à vous de l'écrire, chiffres à l'appui.</w:t>
      </w:r>
    </w:p>
    <w:p>
      <w:pPr>
        <w:pStyle w:val="Heading3"/>
        <w:spacing w:after="120" w:before="220"/>
      </w:pPr>
      <w:r>
        <w:rPr>
          <w:b/>
          <w:bCs/>
          <w:color w:val="2E5FA3"/>
        </w:rPr>
        <w:t xml:space="preserve">Les erreurs fréquentes à éviter</w:t>
      </w:r>
    </w:p>
    <w:p>
      <w:pPr>
        <w:pStyle w:val="ListParagraph"/>
        <w:numPr>
          <w:ilvl w:val="0"/>
          <w:numId w:val="2"/>
        </w:numPr>
        <w:spacing w:after="80" w:line="264"/>
        <w:jc w:val="both"/>
      </w:pPr>
      <w:r>
        <w:rPr>
          <w:b/>
          <w:bCs/>
        </w:rPr>
        <w:t xml:space="preserve">Appliquer 70 % à la valeur TTC du stock</w:t>
      </w:r>
      <w:r>
        <w:t xml:space="preserve"> ou, pire, à sa valeur d'achat : l'énoncé dit « 70 % de sa valeur de vente HT actuelle ».</w:t>
      </w:r>
    </w:p>
    <w:p>
      <w:pPr>
        <w:pStyle w:val="ListParagraph"/>
        <w:numPr>
          <w:ilvl w:val="0"/>
          <w:numId w:val="2"/>
        </w:numPr>
        <w:spacing w:after="80" w:line="264"/>
        <w:jc w:val="both"/>
      </w:pPr>
      <w:r>
        <w:rPr>
          <w:b/>
          <w:bCs/>
        </w:rPr>
        <w:t xml:space="preserve">Comparer la recette TTC de la promotion (2 323 €) à la reprise HT du grossiste (1 814 €)</w:t>
      </w:r>
      <w:r>
        <w:t xml:space="preserve"> : comparaison hétérogène qui gonfle artificiellement l'écart.</w:t>
      </w:r>
    </w:p>
    <w:p>
      <w:pPr>
        <w:pStyle w:val="ListParagraph"/>
        <w:numPr>
          <w:ilvl w:val="0"/>
          <w:numId w:val="2"/>
        </w:numPr>
        <w:spacing w:after="80" w:line="264"/>
        <w:jc w:val="both"/>
      </w:pPr>
      <w:r>
        <w:rPr>
          <w:b/>
          <w:bCs/>
        </w:rPr>
        <w:t xml:space="preserve">Oublier les quantités en stock</w:t>
      </w:r>
      <w:r>
        <w:t xml:space="preserve"> et raisonner sur les prix unitaires.</w:t>
      </w:r>
    </w:p>
    <w:p>
      <w:pPr>
        <w:pStyle w:val="ListParagraph"/>
        <w:numPr>
          <w:ilvl w:val="0"/>
          <w:numId w:val="2"/>
        </w:numPr>
        <w:spacing w:after="80" w:line="264"/>
        <w:jc w:val="both"/>
      </w:pPr>
      <w:r>
        <w:rPr>
          <w:b/>
          <w:bCs/>
        </w:rPr>
        <w:t xml:space="preserve">Traiter le qualitatif en une phrase</w:t>
      </w:r>
      <w:r>
        <w:t xml:space="preserve"> (« la promo c'est bien pour l'image ») : la question met le qualitatif au même rang que le quantitatif.</w:t>
      </w:r>
    </w:p>
    <w:p>
      <w:pPr>
        <w:pStyle w:val="ListParagraph"/>
        <w:numPr>
          <w:ilvl w:val="0"/>
          <w:numId w:val="2"/>
        </w:numPr>
        <w:spacing w:after="80" w:line="264"/>
        <w:jc w:val="both"/>
      </w:pPr>
      <w:r>
        <w:rPr>
          <w:b/>
          <w:bCs/>
        </w:rPr>
        <w:t xml:space="preserve">Ne pas conclure</w:t>
      </w:r>
      <w:r>
        <w:t xml:space="preserve">, ou conclure sans relier la décision à la contrainte de trésorerie qui structure tout le sujet.</w:t>
      </w:r>
    </w:p>
    <w:p>
      <w:pPr>
        <w:pStyle w:val="Heading3"/>
        <w:spacing w:after="120" w:before="220"/>
      </w:pPr>
      <w:r>
        <w:rPr>
          <w:b/>
          <w:bCs/>
          <w:color w:val="2E5FA3"/>
        </w:rPr>
        <w:t xml:space="preserve">Exemple complémentaire</w:t>
      </w:r>
    </w:p>
    <w:p>
      <w:pPr>
        <w:spacing w:after="160" w:before="0" w:line="276"/>
        <w:jc w:val="both"/>
      </w:pPr>
      <w:r>
        <w:rPr>
          <w:i/>
          <w:iCs/>
        </w:rPr>
        <w:t xml:space="preserve">Mini-cas.</w:t>
      </w:r>
      <w:r>
        <w:t xml:space="preserve"> Un magasin de prêt-à-porter doit écouler 200 articles achetés 12 € HT pièce, vendus habituellement 36 € TTC. Option 1 : braderie à − 40 % (21,60 € TTC, soit 18 € HT) avec une prévision de vente de 80 % du stock. Option 2 : soldeur reprenant tout à 8 € HT pièce. </w:t>
      </w:r>
      <w:r>
        <w:rPr>
          <w:i/>
          <w:iCs/>
        </w:rPr>
        <w:t xml:space="preserve">Corrigé</w:t>
      </w:r>
      <w:r>
        <w:t xml:space="preserve"> : option 1 = 160 × 18 = 2 880 € HT espérés (et 40 invendus restants) ; option 2 = 200 × 8 = 1 600 € HT certains, mais </w:t>
      </w:r>
      <w:r>
        <w:rPr>
          <w:b/>
          <w:bCs/>
        </w:rPr>
        <w:t xml:space="preserve">en dessous du coût d'achat</w:t>
      </w:r>
      <w:r>
        <w:t xml:space="preserve"> (12 €) : le soldeur fait vendre à perte comptablement — ici, contrairement au sujet Equi'Dam, le quantitatif disqualifie presque l'option 2. Moralité : refaites toujours les calculs, la structure de la réponse ne se devine pas, elle se démontre.</w:t>
      </w:r>
    </w:p>
    <w:p>
      <w:pPr>
        <w:pStyle w:val="Heading3"/>
        <w:spacing w:after="120" w:before="220"/>
      </w:pPr>
      <w:r>
        <w:rPr>
          <w:b/>
          <w:bCs/>
          <w:color w:val="2E5FA3"/>
        </w:rPr>
        <w:t xml:space="preserve">À retenir pour l'examen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t xml:space="preserve">Chiffrer chaque option sur une base homogène (tout HT), quantités × prix.</w:t>
            </w:r>
          </w:p>
          <w:p>
            <w:pPr>
              <w:spacing w:after="80" w:before="0" w:line="264"/>
            </w:pPr>
            <w:r>
              <w:t xml:space="preserve">PV HT = PV TTC / 1,2 ; reprise grossiste = % × valeur de vente HT du stock.</w:t>
            </w:r>
          </w:p>
          <w:p>
            <w:pPr>
              <w:spacing w:after="80" w:before="0" w:line="264"/>
            </w:pPr>
            <w:r>
              <w:t xml:space="preserve">Marge d'une option = recette HT − valeur d'achat du stock.</w:t>
            </w:r>
          </w:p>
          <w:p>
            <w:pPr>
              <w:spacing w:after="80" w:before="0" w:line="264"/>
            </w:pPr>
            <w:r>
              <w:t xml:space="preserve">Qualitatif : certitude, délai d'encaissement, trésorerie, image, animation, linéaire, coûts induits.</w:t>
            </w:r>
          </w:p>
          <w:p>
            <w:pPr>
              <w:spacing w:after="40" w:before="0" w:line="264"/>
            </w:pPr>
            <w:r>
              <w:t xml:space="preserve">Conclure = trancher en pesant l'écart chiffré contre les critères qualitatifs, dans le contexte de l'entreprise.</w:t>
            </w:r>
          </w:p>
        </w:tc>
      </w:tr>
    </w:tbl>
    <w:p>
      <w:pPr>
        <w:pStyle w:val="Heading2"/>
        <w:spacing w:after="180" w:before="280"/>
      </w:pPr>
      <w:r>
        <w:rPr>
          <w:b/>
          <w:bCs/>
          <w:color w:val="1F3864"/>
        </w:rPr>
        <w:t xml:space="preserve">Synthèse du dossier 3</w:t>
      </w:r>
    </w:p>
    <w:p>
      <w:pPr>
        <w:pStyle w:val="Heading3"/>
        <w:spacing w:after="120" w:before="220"/>
      </w:pPr>
      <w:r>
        <w:rPr>
          <w:b/>
          <w:bCs/>
          <w:color w:val="2E5FA3"/>
        </w:rPr>
        <w:t xml:space="preserve">Les notions essentielles à retenir</w:t>
      </w:r>
    </w:p>
    <w:p>
      <w:pPr>
        <w:pStyle w:val="ListParagraph"/>
        <w:numPr>
          <w:ilvl w:val="0"/>
          <w:numId w:val="2"/>
        </w:numPr>
        <w:spacing w:after="80" w:line="264"/>
        <w:jc w:val="both"/>
      </w:pPr>
      <w:r>
        <w:t xml:space="preserve">La lecture des documents commerciaux : devis, facture, remise, net commercial, TVA, conditions de paiement.</w:t>
      </w:r>
    </w:p>
    <w:p>
      <w:pPr>
        <w:pStyle w:val="ListParagraph"/>
        <w:numPr>
          <w:ilvl w:val="0"/>
          <w:numId w:val="2"/>
        </w:numPr>
        <w:spacing w:after="80" w:line="264"/>
        <w:jc w:val="both"/>
      </w:pPr>
      <w:r>
        <w:t xml:space="preserve">La sélection multicritère des fournisseurs et son lien avec la trésorerie (délais de paiement, acomptes, délais de livraison).</w:t>
      </w:r>
    </w:p>
    <w:p>
      <w:pPr>
        <w:pStyle w:val="ListParagraph"/>
        <w:numPr>
          <w:ilvl w:val="0"/>
          <w:numId w:val="2"/>
        </w:numPr>
        <w:spacing w:after="80" w:line="264"/>
        <w:jc w:val="both"/>
      </w:pPr>
      <w:r>
        <w:t xml:space="preserve">La fixation et la modulation des prix : coefficient multiplicateur, prix promotionnel, seuil de revente à perte.</w:t>
      </w:r>
    </w:p>
    <w:p>
      <w:pPr>
        <w:pStyle w:val="ListParagraph"/>
        <w:numPr>
          <w:ilvl w:val="0"/>
          <w:numId w:val="2"/>
        </w:numPr>
        <w:spacing w:after="80" w:line="264"/>
        <w:jc w:val="both"/>
      </w:pPr>
      <w:r>
        <w:t xml:space="preserve">L'arbitrage déstockage : recettes espérées vs recettes certaines, rentabilité vs liquidité.</w:t>
      </w:r>
    </w:p>
    <w:p>
      <w:pPr>
        <w:pStyle w:val="Heading3"/>
        <w:spacing w:after="120" w:before="220"/>
      </w:pPr>
      <w:r>
        <w:rPr>
          <w:b/>
          <w:bCs/>
          <w:color w:val="2E5FA3"/>
        </w:rPr>
        <w:t xml:space="preserve">Les formules à connaître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24"/>
              <w:bottom w:val="single" w:color="1F3864" w:sz="6"/>
              <w:right w:val="single" w:color="1F3864" w:sz="6"/>
            </w:tcBorders>
            <w:shd w:fill="F2F6FB" w:val="clear"/>
            <w:tcMar>
              <w:top w:type="dxa" w:w="120"/>
              <w:left w:type="dxa" w:w="200"/>
              <w:bottom w:type="dxa" w:w="120"/>
              <w:right w:type="dxa" w:w="200"/>
            </w:tcMar>
          </w:tcPr>
          <w:p>
            <w:pPr>
              <w:spacing w:after="80" w:before="40" w:line="264"/>
            </w:pPr>
            <w:r>
              <w:t xml:space="preserve">Net commercial = Brut HT − Remise ; Net à payer TTC = Net commercial × 1,2</w:t>
            </w:r>
          </w:p>
          <w:p>
            <w:pPr>
              <w:spacing w:after="80" w:before="0" w:line="264"/>
            </w:pPr>
            <w:r>
              <w:t xml:space="preserve">Coefficient multiplicateur = PV TTC / PA HT ; PV promo TTC = PA HT × coefficient promo</w:t>
            </w:r>
          </w:p>
          <w:p>
            <w:pPr>
              <w:spacing w:after="80" w:before="0" w:line="264"/>
            </w:pPr>
            <w:r>
              <w:t xml:space="preserve">Seuil de revente à perte ≈ PA HT × 1,2 (en TTC)</w:t>
            </w:r>
          </w:p>
          <w:p>
            <w:pPr>
              <w:spacing w:after="80" w:before="0" w:line="264"/>
            </w:pPr>
            <w:r>
              <w:t xml:space="preserve">PV HT = PV TTC / 1,2 ; Valeur de vente HT du stock = Σ quantités × PV HT</w:t>
            </w:r>
          </w:p>
          <w:p>
            <w:pPr>
              <w:spacing w:after="40" w:before="0" w:line="264"/>
            </w:pPr>
            <w:r>
              <w:t xml:space="preserve">Marge = recettes HT − coût d'achat HT</w:t>
            </w:r>
          </w:p>
        </w:tc>
      </w:tr>
    </w:tbl>
    <w:p>
      <w:pPr>
        <w:pStyle w:val="Heading3"/>
        <w:spacing w:after="120" w:before="220"/>
      </w:pPr>
      <w:r>
        <w:rPr>
          <w:b/>
          <w:bCs/>
          <w:color w:val="2E5FA3"/>
        </w:rPr>
        <w:t xml:space="preserve">Les réflexes à adopter le jour de l'examen</w:t>
      </w:r>
    </w:p>
    <w:p>
      <w:pPr>
        <w:pStyle w:val="ListParagraph"/>
        <w:numPr>
          <w:ilvl w:val="0"/>
          <w:numId w:val="2"/>
        </w:numPr>
        <w:spacing w:after="80" w:line="264"/>
        <w:jc w:val="both"/>
      </w:pPr>
      <w:r>
        <w:t xml:space="preserve">Vérifier chaque devis (conditions de remise remplies ?) ; ne jamais mélanger HT et TTC dans un même calcul ; appliquer les coefficients aux prix d'achat HT ; chiffrer AVANT de juger ; trancher en s'appuyant sur la contrainte dominante du cas (ici, la trésorerie).</w:t>
      </w:r>
    </w:p>
    <w:p>
      <w:pPr>
        <w:pStyle w:val="Heading3"/>
        <w:spacing w:after="120" w:before="220"/>
      </w:pPr>
      <w:r>
        <w:rPr>
          <w:b/>
          <w:bCs/>
          <w:color w:val="2E5FA3"/>
        </w:rPr>
        <w:t xml:space="preserve">Questions d'entraînement</w:t>
      </w:r>
    </w:p>
    <w:p>
      <w:pPr>
        <w:pStyle w:val="ListParagraph"/>
        <w:numPr>
          <w:ilvl w:val="0"/>
          <w:numId w:val="2"/>
        </w:numPr>
        <w:spacing w:after="80" w:line="264"/>
        <w:jc w:val="both"/>
      </w:pPr>
      <w:r>
        <w:t xml:space="preserve">Hilton Herbs propose un escompte de 3 % pour paiement comptant : calculez le net financier et expliquez pourquoi cette économie de 76,82 € n'est pas pertinente pour Equi'Dam.</w:t>
      </w:r>
    </w:p>
    <w:p>
      <w:pPr>
        <w:pStyle w:val="ListParagraph"/>
        <w:numPr>
          <w:ilvl w:val="0"/>
          <w:numId w:val="2"/>
        </w:numPr>
        <w:spacing w:after="80" w:line="264"/>
        <w:jc w:val="both"/>
      </w:pPr>
      <w:r>
        <w:t xml:space="preserve">Quel serait le prix promotionnel de la guêtre avec un coefficient de 1,3 ? Ce prix serait-il licite ? (Réponse : 43,16 € &gt; 39,84 € → licite, mais marge résiduelle de seulement 8,3 % du PA.)</w:t>
      </w:r>
    </w:p>
    <w:p>
      <w:pPr>
        <w:pStyle w:val="ListParagraph"/>
        <w:numPr>
          <w:ilvl w:val="0"/>
          <w:numId w:val="2"/>
        </w:numPr>
        <w:spacing w:after="80" w:line="264"/>
        <w:jc w:val="both"/>
      </w:pPr>
      <w:r>
        <w:t xml:space="preserve">Recalculez l'offre du grossiste s'il proposait 70 % de la valeur de vente TTC : la conclusion changerait-elle ? (Reprise = 2 177,35 € TTC soit 1 814,46 € HT... non : 70 % du TTC = 2 177,35 € TTC équivaut exactement à 70 % du HT une fois la TVA neutralisée — comprenez pourquoi.)</w:t>
      </w:r>
    </w:p>
    <w:p>
      <w:pPr>
        <w:pStyle w:val="Heading1"/>
        <w:spacing w:after="240" w:before="240"/>
      </w:pPr>
      <w:r>
        <w:br w:type="page"/>
      </w:r>
      <w:r>
        <w:rPr>
          <w:b/>
          <w:bCs/>
          <w:color w:val="1F3864"/>
        </w:rPr>
        <w:t xml:space="preserve">SYNTHÈSE GÉNÉRALE : ce que ce sujet vous apprend pour le jour J</w:t>
      </w:r>
    </w:p>
    <w:p>
      <w:pPr>
        <w:pStyle w:val="Heading3"/>
        <w:spacing w:after="120" w:before="220"/>
      </w:pPr>
      <w:r>
        <w:rPr>
          <w:b/>
          <w:bCs/>
          <w:color w:val="2E5FA3"/>
        </w:rPr>
        <w:t xml:space="preserve">La carte des notions du sujet 2025</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1600"/>
        <w:gridCol w:w="3760"/>
      </w:tblGrid>
      <w:tr>
        <w:trPr>
          <w:tblHeader/>
        </w:trPr>
        <w:tc>
          <w:tcPr>
            <w:tcW w:type="dxa" w:w="40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left"/>
            </w:pPr>
            <w:r>
              <w:rPr>
                <w:b/>
                <w:bCs/>
                <w:color w:val="FFFFFF"/>
                <w:sz w:val="20"/>
                <w:szCs w:val="20"/>
              </w:rPr>
              <w:t xml:space="preserve">Notion du référentiel (bloc 3)</w:t>
            </w:r>
          </w:p>
        </w:tc>
        <w:tc>
          <w:tcPr>
            <w:tcW w:type="dxa" w:w="160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Question(s)</w:t>
            </w:r>
          </w:p>
        </w:tc>
        <w:tc>
          <w:tcPr>
            <w:tcW w:type="dxa" w:w="376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Formule ou outil central</w:t>
            </w:r>
          </w:p>
        </w:tc>
      </w:tr>
      <w:tr>
        <w:tc>
          <w:tcPr>
            <w:tcW w:type="dxa" w:w="40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Le bilan – équilibre financier</w:t>
            </w:r>
          </w:p>
        </w:tc>
        <w:tc>
          <w:tcPr>
            <w:tcW w:type="dxa" w:w="16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1.1</w:t>
            </w:r>
          </w:p>
        </w:tc>
        <w:tc>
          <w:tcPr>
            <w:tcW w:type="dxa" w:w="376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FRNG, BFR, TN, ratio d'endettement</w:t>
            </w:r>
          </w:p>
        </w:tc>
      </w:tr>
      <w:tr>
        <w:tc>
          <w:tcPr>
            <w:tcW w:type="dxa" w:w="40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Le financement de l'investissement</w:t>
            </w:r>
          </w:p>
        </w:tc>
        <w:tc>
          <w:tcPr>
            <w:tcW w:type="dxa" w:w="16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1.2, 1.3</w:t>
            </w:r>
          </w:p>
        </w:tc>
        <w:tc>
          <w:tcPr>
            <w:tcW w:type="dxa" w:w="376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Annuité constante, coût du crédit, LOA</w:t>
            </w:r>
          </w:p>
        </w:tc>
      </w:tr>
      <w:tr>
        <w:tc>
          <w:tcPr>
            <w:tcW w:type="dxa" w:w="40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Les indicateurs de performance</w:t>
            </w:r>
          </w:p>
        </w:tc>
        <w:tc>
          <w:tcPr>
            <w:tcW w:type="dxa" w:w="16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2.1, 2.2</w:t>
            </w:r>
          </w:p>
        </w:tc>
        <w:tc>
          <w:tcPr>
            <w:tcW w:type="dxa" w:w="376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Évolution, structure du CA, taux de marge</w:t>
            </w:r>
          </w:p>
        </w:tc>
      </w:tr>
      <w:tr>
        <w:tc>
          <w:tcPr>
            <w:tcW w:type="dxa" w:w="40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Les méthodes de prévision – saisonnalité</w:t>
            </w:r>
          </w:p>
        </w:tc>
        <w:tc>
          <w:tcPr>
            <w:tcW w:type="dxa" w:w="16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2.3</w:t>
            </w:r>
          </w:p>
        </w:tc>
        <w:tc>
          <w:tcPr>
            <w:tcW w:type="dxa" w:w="376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Objectif de période = objectif × coef/Σcoef</w:t>
            </w:r>
          </w:p>
        </w:tc>
      </w:tr>
      <w:tr>
        <w:tc>
          <w:tcPr>
            <w:tcW w:type="dxa" w:w="40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Les documents commerciaux et approvisionnements</w:t>
            </w:r>
          </w:p>
        </w:tc>
        <w:tc>
          <w:tcPr>
            <w:tcW w:type="dxa" w:w="16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3.1</w:t>
            </w:r>
          </w:p>
        </w:tc>
        <w:tc>
          <w:tcPr>
            <w:tcW w:type="dxa" w:w="376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Devis, net commercial, sélection multicritère</w:t>
            </w:r>
          </w:p>
        </w:tc>
      </w:tr>
      <w:tr>
        <w:tc>
          <w:tcPr>
            <w:tcW w:type="dxa" w:w="40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La fixation des prix</w:t>
            </w:r>
          </w:p>
        </w:tc>
        <w:tc>
          <w:tcPr>
            <w:tcW w:type="dxa" w:w="16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3.2</w:t>
            </w:r>
          </w:p>
        </w:tc>
        <w:tc>
          <w:tcPr>
            <w:tcW w:type="dxa" w:w="376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Coefficient multiplicateur, revente à perte</w:t>
            </w:r>
          </w:p>
        </w:tc>
      </w:tr>
      <w:tr>
        <w:tc>
          <w:tcPr>
            <w:tcW w:type="dxa" w:w="40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Les stocks, les marges et la trésorerie</w:t>
            </w:r>
          </w:p>
        </w:tc>
        <w:tc>
          <w:tcPr>
            <w:tcW w:type="dxa" w:w="160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3.3</w:t>
            </w:r>
          </w:p>
        </w:tc>
        <w:tc>
          <w:tcPr>
            <w:tcW w:type="dxa" w:w="376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Valorisation du stock, arbitrage recette/liquidité</w:t>
            </w:r>
          </w:p>
        </w:tc>
      </w:tr>
    </w:tbl>
    <w:p>
      <w:pPr>
        <w:spacing w:after="100"/>
      </w:pPr>
    </w:p>
    <w:p>
      <w:pPr>
        <w:pStyle w:val="Heading3"/>
        <w:spacing w:after="120" w:before="220"/>
      </w:pPr>
      <w:r>
        <w:rPr>
          <w:b/>
          <w:bCs/>
          <w:color w:val="2E5FA3"/>
        </w:rPr>
        <w:t xml:space="preserve">Les dix réflexes de la copie qui réussit</w:t>
      </w:r>
    </w:p>
    <w:p>
      <w:pPr>
        <w:pStyle w:val="ListParagraph"/>
        <w:numPr>
          <w:ilvl w:val="0"/>
          <w:numId w:val="2"/>
        </w:numPr>
        <w:spacing w:after="80" w:line="264"/>
        <w:jc w:val="both"/>
      </w:pPr>
      <w:r>
        <w:rPr>
          <w:b/>
          <w:bCs/>
        </w:rPr>
        <w:t xml:space="preserve">Lire le chapeau de chaque dossier</w:t>
      </w:r>
      <w:r>
        <w:t xml:space="preserve"> : il contient des consignes chiffrées (« la moitié des ressources stables », « coefficient d'environ 1,5 », « 70 % de la valeur de vente HT »).</w:t>
      </w:r>
    </w:p>
    <w:p>
      <w:pPr>
        <w:pStyle w:val="ListParagraph"/>
        <w:numPr>
          <w:ilvl w:val="0"/>
          <w:numId w:val="2"/>
        </w:numPr>
        <w:spacing w:after="80" w:line="264"/>
        <w:jc w:val="both"/>
      </w:pPr>
      <w:r>
        <w:rPr>
          <w:b/>
          <w:bCs/>
        </w:rPr>
        <w:t xml:space="preserve">Poser la formule avant le calcul</w:t>
      </w:r>
      <w:r>
        <w:t xml:space="preserve">, avec les valeurs substituées : c'est la formule qui rapporte les points de méthode.</w:t>
      </w:r>
    </w:p>
    <w:p>
      <w:pPr>
        <w:pStyle w:val="ListParagraph"/>
        <w:numPr>
          <w:ilvl w:val="0"/>
          <w:numId w:val="2"/>
        </w:numPr>
        <w:spacing w:after="80" w:line="264"/>
        <w:jc w:val="both"/>
      </w:pPr>
      <w:r>
        <w:rPr>
          <w:b/>
          <w:bCs/>
        </w:rPr>
        <w:t xml:space="preserve">Vérifier ce qui peut l'être</w:t>
      </w:r>
      <w:r>
        <w:t xml:space="preserve"> : TN par deux chemins, parts qui somment à 100 %, coefficients qui somment à 4, totaux d'annexes.</w:t>
      </w:r>
    </w:p>
    <w:p>
      <w:pPr>
        <w:pStyle w:val="ListParagraph"/>
        <w:numPr>
          <w:ilvl w:val="0"/>
          <w:numId w:val="2"/>
        </w:numPr>
        <w:spacing w:after="80" w:line="264"/>
        <w:jc w:val="both"/>
      </w:pPr>
      <w:r>
        <w:rPr>
          <w:b/>
          <w:bCs/>
        </w:rPr>
        <w:t xml:space="preserve">Convertir avant de calculer</w:t>
      </w:r>
      <w:r>
        <w:t xml:space="preserve"> : taux annuel → mensuel, TTC → HT. Jamais de calcul mélangeant deux bases.</w:t>
      </w:r>
    </w:p>
    <w:p>
      <w:pPr>
        <w:pStyle w:val="ListParagraph"/>
        <w:numPr>
          <w:ilvl w:val="0"/>
          <w:numId w:val="2"/>
        </w:numPr>
        <w:spacing w:after="80" w:line="264"/>
        <w:jc w:val="both"/>
      </w:pPr>
      <w:r>
        <w:rPr>
          <w:b/>
          <w:bCs/>
        </w:rPr>
        <w:t xml:space="preserve">Toujours une ligne TOTAL</w:t>
      </w:r>
      <w:r>
        <w:t xml:space="preserve"> dans les tableaux, et des unités partout.</w:t>
      </w:r>
    </w:p>
    <w:p>
      <w:pPr>
        <w:pStyle w:val="ListParagraph"/>
        <w:numPr>
          <w:ilvl w:val="0"/>
          <w:numId w:val="2"/>
        </w:numPr>
        <w:spacing w:after="80" w:line="264"/>
        <w:jc w:val="both"/>
      </w:pPr>
      <w:r>
        <w:rPr>
          <w:b/>
          <w:bCs/>
        </w:rPr>
        <w:t xml:space="preserve">Interpréter chaque résultat</w:t>
      </w:r>
      <w:r>
        <w:t xml:space="preserve"> : favorable/défavorable, causes, conséquences, décision possible.</w:t>
      </w:r>
    </w:p>
    <w:p>
      <w:pPr>
        <w:pStyle w:val="ListParagraph"/>
        <w:numPr>
          <w:ilvl w:val="0"/>
          <w:numId w:val="2"/>
        </w:numPr>
        <w:spacing w:after="80" w:line="264"/>
        <w:jc w:val="both"/>
      </w:pPr>
      <w:r>
        <w:rPr>
          <w:b/>
          <w:bCs/>
        </w:rPr>
        <w:t xml:space="preserve">Croiser les indicateurs</w:t>
      </w:r>
      <w:r>
        <w:t xml:space="preserve"> (part du CA vs part de la marge ; recette vs certitude d'encaissement).</w:t>
      </w:r>
    </w:p>
    <w:p>
      <w:pPr>
        <w:pStyle w:val="ListParagraph"/>
        <w:numPr>
          <w:ilvl w:val="0"/>
          <w:numId w:val="2"/>
        </w:numPr>
        <w:spacing w:after="80" w:line="264"/>
        <w:jc w:val="both"/>
      </w:pPr>
      <w:r>
        <w:rPr>
          <w:b/>
          <w:bCs/>
        </w:rPr>
        <w:t xml:space="preserve">Relier les dossiers entre eux</w:t>
      </w:r>
      <w:r>
        <w:t xml:space="preserve"> : ici, la trésorerie de 310 € (D1) éclaire le choix Nacricare (D3.1) et l'offre du grossiste (D3.3) ; la sous-performance des soins (D2) justifie tout le dossier 3.</w:t>
      </w:r>
    </w:p>
    <w:p>
      <w:pPr>
        <w:pStyle w:val="ListParagraph"/>
        <w:numPr>
          <w:ilvl w:val="0"/>
          <w:numId w:val="2"/>
        </w:numPr>
        <w:spacing w:after="80" w:line="264"/>
        <w:jc w:val="both"/>
      </w:pPr>
      <w:r>
        <w:rPr>
          <w:b/>
          <w:bCs/>
        </w:rPr>
        <w:t xml:space="preserve">Trancher</w:t>
      </w:r>
      <w:r>
        <w:t xml:space="preserve"> quand on vous demande de conseiller, sélectionner ou conclure — avec un point de vigilance.</w:t>
      </w:r>
    </w:p>
    <w:p>
      <w:pPr>
        <w:pStyle w:val="ListParagraph"/>
        <w:numPr>
          <w:ilvl w:val="0"/>
          <w:numId w:val="2"/>
        </w:numPr>
        <w:spacing w:after="80" w:line="264"/>
        <w:jc w:val="both"/>
      </w:pPr>
      <w:r>
        <w:rPr>
          <w:b/>
          <w:bCs/>
        </w:rPr>
        <w:t xml:space="preserve">Garder 10 minutes de relecture</w:t>
      </w:r>
      <w:r>
        <w:t xml:space="preserve"> : unités, arrondis, phrases de conclusion.</w:t>
      </w:r>
    </w:p>
    <w:p>
      <w:pPr>
        <w:pStyle w:val="Heading3"/>
        <w:spacing w:after="120" w:before="220"/>
      </w:pPr>
      <w:r>
        <w:rPr>
          <w:b/>
          <w:bCs/>
          <w:color w:val="2E5FA3"/>
        </w:rPr>
        <w:t xml:space="preserve">Les confusions fatales à bannir définitivement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left"/>
            </w:pPr>
            <w:r>
              <w:rPr>
                <w:b/>
                <w:bCs/>
                <w:color w:val="FFFFFF"/>
                <w:sz w:val="20"/>
                <w:szCs w:val="20"/>
              </w:rPr>
              <w:t xml:space="preserve">Ne confondez pas...</w:t>
            </w:r>
          </w:p>
        </w:tc>
        <w:tc>
          <w:tcPr>
            <w:tcW w:type="dxa" w:w="4680"/>
            <w:tcBorders>
              <w:top w:val="single" w:color="8EAADB" w:sz="4"/>
              <w:left w:val="single" w:color="8EAADB" w:sz="4"/>
              <w:bottom w:val="single" w:color="8EAADB" w:sz="4"/>
              <w:right w:val="single" w:color="8EAADB" w:sz="4"/>
            </w:tcBorders>
            <w:shd w:fill="2E5FA3" w:val="clear"/>
            <w:tcMar>
              <w:top w:type="dxa" w:w="60"/>
              <w:left w:type="dxa" w:w="100"/>
              <w:bottom w:type="dxa" w:w="60"/>
              <w:right w:type="dxa" w:w="100"/>
            </w:tcMar>
            <w:vAlign w:val="center"/>
          </w:tcPr>
          <w:p>
            <w:pPr>
              <w:spacing w:after="20" w:before="20"/>
              <w:jc w:val="center"/>
            </w:pPr>
            <w:r>
              <w:rPr>
                <w:b/>
                <w:bCs/>
                <w:color w:val="FFFFFF"/>
                <w:sz w:val="20"/>
                <w:szCs w:val="20"/>
              </w:rPr>
              <w:t xml:space="preserve">...avec</w:t>
            </w:r>
          </w:p>
        </w:tc>
      </w:tr>
      <w:tr>
        <w:tc>
          <w:tcPr>
            <w:tcW w:type="dxa" w:w="46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FRNG (marge de financement durable)</w:t>
            </w:r>
          </w:p>
        </w:tc>
        <w:tc>
          <w:tcPr>
            <w:tcW w:type="dxa" w:w="46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Trésorerie nette (résultante FRNG − BFR)</w:t>
            </w:r>
          </w:p>
        </w:tc>
      </w:tr>
      <w:tr>
        <w:tc>
          <w:tcPr>
            <w:tcW w:type="dxa" w:w="46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Ressources propres</w:t>
            </w:r>
          </w:p>
        </w:tc>
        <w:tc>
          <w:tcPr>
            <w:tcW w:type="dxa" w:w="46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Ressources stables (propres + dettes financières)</w:t>
            </w:r>
          </w:p>
        </w:tc>
      </w:tr>
      <w:tr>
        <w:tc>
          <w:tcPr>
            <w:tcW w:type="dxa" w:w="46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Taux annuel</w:t>
            </w:r>
          </w:p>
        </w:tc>
        <w:tc>
          <w:tcPr>
            <w:tcW w:type="dxa" w:w="46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Taux mensuel proportionnel (annuel ÷ 12)</w:t>
            </w:r>
          </w:p>
        </w:tc>
      </w:tr>
      <w:tr>
        <w:tc>
          <w:tcPr>
            <w:tcW w:type="dxa" w:w="46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Taux de marge (base coût d'achat)</w:t>
            </w:r>
          </w:p>
        </w:tc>
        <w:tc>
          <w:tcPr>
            <w:tcW w:type="dxa" w:w="46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Taux de marque (base prix de vente)</w:t>
            </w:r>
          </w:p>
        </w:tc>
      </w:tr>
      <w:tr>
        <w:tc>
          <w:tcPr>
            <w:tcW w:type="dxa" w:w="46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Valeur de départ (dénominateur de l'évolution)</w:t>
            </w:r>
          </w:p>
        </w:tc>
        <w:tc>
          <w:tcPr>
            <w:tcW w:type="dxa" w:w="46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Valeur d'arrivée</w:t>
            </w:r>
          </w:p>
        </w:tc>
      </w:tr>
      <w:tr>
        <w:tc>
          <w:tcPr>
            <w:tcW w:type="dxa" w:w="46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Coefficient saisonnier (0,60)</w:t>
            </w:r>
          </w:p>
        </w:tc>
        <w:tc>
          <w:tcPr>
            <w:tcW w:type="dxa" w:w="46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Quote-part de l'objectif (0,60 ÷ 4 = 15 %)</w:t>
            </w:r>
          </w:p>
        </w:tc>
      </w:tr>
      <w:tr>
        <w:tc>
          <w:tcPr>
            <w:tcW w:type="dxa" w:w="46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Remise (commerciale, sur le brut)</w:t>
            </w:r>
          </w:p>
        </w:tc>
        <w:tc>
          <w:tcPr>
            <w:tcW w:type="dxa" w:w="46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Escompte (financier, pour paiement anticipé)</w:t>
            </w:r>
          </w:p>
        </w:tc>
      </w:tr>
      <w:tr>
        <w:tc>
          <w:tcPr>
            <w:tcW w:type="dxa" w:w="46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Coefficient multiplicateur (PA HT → PV TTC)</w:t>
            </w:r>
          </w:p>
        </w:tc>
        <w:tc>
          <w:tcPr>
            <w:tcW w:type="dxa" w:w="46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Taux de remise ou de démarque</w:t>
            </w:r>
          </w:p>
        </w:tc>
      </w:tr>
      <w:tr>
        <w:tc>
          <w:tcPr>
            <w:tcW w:type="dxa" w:w="46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left"/>
            </w:pPr>
            <w:r>
              <w:rPr>
                <w:color w:val="000000"/>
                <w:sz w:val="20"/>
                <w:szCs w:val="20"/>
              </w:rPr>
              <w:t xml:space="preserve">Recette espérée (conditionnelle)</w:t>
            </w:r>
          </w:p>
        </w:tc>
        <w:tc>
          <w:tcPr>
            <w:tcW w:type="dxa" w:w="4680"/>
            <w:tcBorders>
              <w:top w:val="single" w:color="8EAADB" w:sz="4"/>
              <w:left w:val="single" w:color="8EAADB" w:sz="4"/>
              <w:bottom w:val="single" w:color="8EAADB" w:sz="4"/>
              <w:right w:val="single" w:color="8EAADB" w:sz="4"/>
            </w:tcBorders>
            <w:shd w:fill="FFFFFF" w:val="clear"/>
            <w:tcMar>
              <w:top w:type="dxa" w:w="60"/>
              <w:left w:type="dxa" w:w="100"/>
              <w:bottom w:type="dxa" w:w="60"/>
              <w:right w:type="dxa" w:w="100"/>
            </w:tcMar>
            <w:vAlign w:val="center"/>
          </w:tcPr>
          <w:p>
            <w:pPr>
              <w:spacing w:after="20" w:before="20"/>
              <w:jc w:val="center"/>
            </w:pPr>
            <w:r>
              <w:rPr>
                <w:color w:val="000000"/>
                <w:sz w:val="20"/>
                <w:szCs w:val="20"/>
              </w:rPr>
              <w:t xml:space="preserve">Recette certaine (encaissée)</w:t>
            </w:r>
          </w:p>
        </w:tc>
      </w:tr>
    </w:tbl>
    <w:p>
      <w:pPr>
        <w:spacing w:after="100"/>
      </w:pPr>
    </w:p>
    <w:p>
      <w:pPr>
        <w:pStyle w:val="Heading3"/>
        <w:spacing w:after="120" w:before="220"/>
      </w:pPr>
      <w:r>
        <w:rPr>
          <w:b/>
          <w:bCs/>
          <w:color w:val="2E5FA3"/>
        </w:rPr>
        <w:t xml:space="preserve">Programme d'entraînement final</w:t>
      </w:r>
    </w:p>
    <w:p>
      <w:pPr>
        <w:pStyle w:val="ListParagraph"/>
        <w:numPr>
          <w:ilvl w:val="0"/>
          <w:numId w:val="2"/>
        </w:numPr>
        <w:spacing w:after="80" w:line="264"/>
        <w:jc w:val="both"/>
      </w:pPr>
      <w:r>
        <w:t xml:space="preserve">Refaites ce sujet </w:t>
      </w:r>
      <w:r>
        <w:rPr>
          <w:b/>
          <w:bCs/>
        </w:rPr>
        <w:t xml:space="preserve">en conditions réelles (3 heures)</w:t>
      </w:r>
      <w:r>
        <w:t xml:space="preserve"> dans une semaine, sans le corrigé, puis autocorrigez-vous rubrique par rubrique avec ce document.</w:t>
      </w:r>
    </w:p>
    <w:p>
      <w:pPr>
        <w:pStyle w:val="ListParagraph"/>
        <w:numPr>
          <w:ilvl w:val="0"/>
          <w:numId w:val="2"/>
        </w:numPr>
        <w:spacing w:after="80" w:line="264"/>
        <w:jc w:val="both"/>
      </w:pPr>
      <w:r>
        <w:t xml:space="preserve">Rejouez chaque « exemple complémentaire » de ce corrigé : ce sont des variantes plausibles de sujets futurs.</w:t>
      </w:r>
    </w:p>
    <w:p>
      <w:pPr>
        <w:pStyle w:val="ListParagraph"/>
        <w:numPr>
          <w:ilvl w:val="0"/>
          <w:numId w:val="2"/>
        </w:numPr>
        <w:spacing w:after="80" w:line="264"/>
        <w:jc w:val="both"/>
      </w:pPr>
      <w:r>
        <w:t xml:space="preserve">Constituez une </w:t>
      </w:r>
      <w:r>
        <w:rPr>
          <w:b/>
          <w:bCs/>
        </w:rPr>
        <w:t xml:space="preserve">fiche de formules unique</w:t>
      </w:r>
      <w:r>
        <w:t xml:space="preserve"> (une page) à partir des encadrés « À retenir » : c'est votre antisèche mentale du jour J.</w:t>
      </w:r>
    </w:p>
    <w:p>
      <w:pPr>
        <w:spacing w:after="100"/>
      </w:pPr>
    </w:p>
    <w:p>
      <w:pPr>
        <w:pBdr>
          <w:left w:val="single" w:color="2E5FA3" w:sz="18" w:space="8"/>
        </w:pBdr>
        <w:spacing w:after="160" w:before="60" w:line="276"/>
        <w:ind w:left="360"/>
      </w:pPr>
      <w:r>
        <w:rPr>
          <w:i/>
          <w:iCs/>
          <w:color w:val="2E5FA3"/>
        </w:rPr>
        <w:t xml:space="preserve">Dernier mot : ce sujet 2025 est représentatif de l'esprit de l'épreuve — peu de calculs sophistiqués, mais une exigence constante de rigueur, de lecture des annexes et d'interprétation managériale. La différence entre 10 et 16 ne se joue presque jamais sur la calculatrice : elle se joue sur les phrases de conclusion. Entraînez-vous à conclure. Bon courage, vous êtes prêts.</w:t>
      </w:r>
    </w:p>
    <w:sectPr>
      <w:headerReference w:type="default" r:id="rId7"/>
      <w:footerReference w:type="default" r:id="rId8"/>
      <w:pgSz w:w="11906" w:h="16838"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pPr>
    <w:r>
      <w:rPr>
        <w:color w:val="595959"/>
        <w:sz w:val="16"/>
        <w:szCs w:val="16"/>
      </w:rPr>
      <w:t xml:space="preserve">Sellerie Equi'Dam – 25MCOGO7</w:t>
    </w:r>
    <w:r>
      <w:rPr>
        <w:color w:val="595959"/>
        <w:sz w:val="16"/>
        <w:szCs w:val="16"/>
      </w:rPr>
      <w:t xml:space="preserve">	Page </w:t>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2"/>
      </w:pBdr>
      <w:jc w:val="right"/>
    </w:pPr>
    <w:r>
      <w:rPr>
        <w:i/>
        <w:iCs/>
        <w:color w:val="595959"/>
        <w:sz w:val="16"/>
        <w:szCs w:val="16"/>
      </w:rPr>
      <w:t xml:space="preserve">BTS MCO – Gestion opérationnelle – Session 2025 – Correction intégrale commentée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00"/>
      </w:pPr>
    </w:lvl>
    <w:lvl w:ilvl="1" w15:tentative="1">
      <w:start w:val="1"/>
      <w:numFmt w:val="bullet"/>
      <w:lvlText w:val="–"/>
      <w:lvlJc w:val="left"/>
      <w:pPr>
        <w:ind w:left="80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240" w:before="240"/>
    </w:pPr>
    <w:rPr>
      <w:rFonts w:ascii="Calibri" w:cs="Calibri" w:eastAsia="Calibri" w:hAnsi="Calibri"/>
      <w:b/>
      <w:bCs/>
      <w:color w:val="1F3864"/>
      <w:sz w:val="34"/>
      <w:szCs w:val="34"/>
    </w:rPr>
  </w:style>
  <w:style w:type="paragraph" w:styleId="Heading2">
    <w:name w:val="Heading 2"/>
    <w:basedOn w:val="Normal"/>
    <w:next w:val="Normal"/>
    <w:qFormat/>
    <w:pPr>
      <w:pBdr>
        <w:bottom w:val="single" w:color="8EAADB" w:sz="6" w:space="4"/>
      </w:pBdr>
      <w:spacing w:after="180" w:before="280"/>
    </w:pPr>
    <w:rPr>
      <w:rFonts w:ascii="Calibri" w:cs="Calibri" w:eastAsia="Calibri" w:hAnsi="Calibri"/>
      <w:b/>
      <w:bCs/>
      <w:color w:val="1F3864"/>
      <w:sz w:val="27"/>
      <w:szCs w:val="27"/>
    </w:rPr>
  </w:style>
  <w:style w:type="paragraph" w:styleId="Heading3">
    <w:name w:val="Heading 3"/>
    <w:basedOn w:val="Normal"/>
    <w:next w:val="Normal"/>
    <w:qFormat/>
    <w:pPr>
      <w:spacing w:after="120" w:before="220"/>
    </w:pPr>
    <w:rPr>
      <w:rFonts w:ascii="Calibri" w:cs="Calibri" w:eastAsia="Calibri" w:hAnsi="Calibri"/>
      <w:b/>
      <w:bCs/>
      <w:color w:val="2E5FA3"/>
      <w:sz w:val="23"/>
      <w:szCs w:val="23"/>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BTS MCO 2025 - Gestion opérationnelle - Correction intégrale commentée</dc:title>
  <dc:creator>AURLOM BTS+</dc:creator>
  <cp:lastModifiedBy>Un-named</cp:lastModifiedBy>
  <cp:revision>1</cp:revision>
  <dcterms:created xsi:type="dcterms:W3CDTF">2026-07-10T11:27:41.526Z</dcterms:created>
  <dcterms:modified xsi:type="dcterms:W3CDTF">2026-07-10T11:27:41.549Z</dcterms:modified>
</cp:coreProperties>
</file>

<file path=docProps/custom.xml><?xml version="1.0" encoding="utf-8"?>
<Properties xmlns="http://schemas.openxmlformats.org/officeDocument/2006/custom-properties" xmlns:vt="http://schemas.openxmlformats.org/officeDocument/2006/docPropsVTypes"/>
</file>