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800"/>
      </w:pPr>
    </w:p>
    <w:p>
      <w:pPr>
        <w:spacing w:after="200"/>
        <w:jc w:val="center"/>
      </w:pPr>
      <w:r>
        <w:rPr>
          <w:b/>
          <w:bCs/>
          <w:color w:val="1F3864"/>
          <w:sz w:val="40"/>
          <w:szCs w:val="40"/>
        </w:rPr>
        <w:t xml:space="preserve">BTS MANAGEMENT COMMERCIAL OPÉRATIONNEL</w:t>
      </w:r>
    </w:p>
    <w:p>
      <w:pPr>
        <w:spacing w:after="200"/>
        <w:jc w:val="center"/>
      </w:pPr>
      <w:r>
        <w:rPr>
          <w:b/>
          <w:bCs/>
          <w:color w:val="C55A11"/>
          <w:sz w:val="34"/>
          <w:szCs w:val="34"/>
        </w:rPr>
        <w:t xml:space="preserve">Épreuve E5 – Gestion opérationnelle</w:t>
      </w:r>
    </w:p>
    <w:p>
      <w:pPr>
        <w:spacing w:after="500"/>
        <w:jc w:val="center"/>
      </w:pPr>
      <w:r>
        <w:rPr>
          <w:color w:val="595959"/>
          <w:sz w:val="28"/>
          <w:szCs w:val="28"/>
        </w:rPr>
        <w:t xml:space="preserve">SESSION 2024 – Sujet 24MCOGO5-P – Le cas NEWAY</w:t>
      </w:r>
    </w:p>
    <w:p>
      <w:pPr>
        <w:spacing w:after="300"/>
        <w:jc w:val="center"/>
      </w:pPr>
      <w:r>
        <w:rPr>
          <w:b/>
          <w:bCs/>
          <w:color w:val="1F3864"/>
          <w:sz w:val="44"/>
          <w:szCs w:val="44"/>
        </w:rPr>
        <w:t xml:space="preserve">CORRECTION INTÉGRALE COMMENTÉE</w:t>
      </w:r>
    </w:p>
    <w:p>
      <w:pPr>
        <w:spacing w:after="1200"/>
        <w:jc w:val="center"/>
      </w:pPr>
      <w:r>
        <w:rPr>
          <w:i/>
          <w:iCs/>
          <w:color w:val="595959"/>
          <w:sz w:val="24"/>
          <w:szCs w:val="24"/>
        </w:rPr>
        <w:t xml:space="preserve">Méthodes • Rappels de cours • Corrigés rédigés • Conseils du correcteur • Erreurs à éviter</w:t>
      </w:r>
    </w:p>
    <w:p>
      <w:pPr>
        <w:jc w:val="center"/>
      </w:pPr>
      <w:r>
        <w:rPr>
          <w:color w:val="595959"/>
          <w:sz w:val="22"/>
          <w:szCs w:val="22"/>
        </w:rPr>
        <w:t xml:space="preserve">Document de préparation à l’examen – à travailler sujet en main, calculatrice à portée</w:t>
      </w:r>
    </w:p>
    <w:p>
      <w:r>
        <w:br w:type="page"/>
      </w:r>
    </w:p>
    <w:p>
      <w:pPr>
        <w:pStyle w:val="Heading1"/>
        <w:pBdr>
          <w:bottom w:val="single" w:color="C55A11" w:sz="8"/>
        </w:pBdr>
        <w:shd w:fill="1F3864" w:val="clear"/>
        <w:spacing w:after="200" w:before="240"/>
        <w:ind w:left="120" w:right="120"/>
        <w:jc w:val="left"/>
      </w:pPr>
      <w:r>
        <w:rPr>
          <w:b/>
          <w:bCs/>
          <w:color w:val="FFFFFF"/>
          <w:sz w:val="30"/>
          <w:szCs w:val="30"/>
        </w:rPr>
        <w:t xml:space="preserve">Sommaire</w:t>
      </w:r>
    </w:p>
    <w:sdt>
      <w:sdtPr>
        <w:alias w:val="Sommaire"/>
      </w:sdtPr>
      <w:sdtContent>
        <w:p>
          <w:r>
            <w:fldChar w:fldCharType="begin" w:dirty="true"/>
            <w:instrText xml:space="preserve">TOC \h \o "1-2"</w:instrText>
            <w:fldChar w:fldCharType="separate"/>
          </w:r>
        </w:p>
        <w:p>
          <w:r>
            <w:fldChar w:fldCharType="end"/>
          </w:r>
        </w:p>
      </w:sdtContent>
    </w:sdt>
    <w:p>
      <w:r>
        <w:br w:type="page"/>
      </w:r>
    </w:p>
    <w:p>
      <w:pPr>
        <w:pStyle w:val="Heading1"/>
        <w:pBdr>
          <w:bottom w:val="single" w:color="C55A11" w:sz="8"/>
        </w:pBdr>
        <w:shd w:fill="1F3864" w:val="clear"/>
        <w:spacing w:after="200" w:before="240"/>
        <w:ind w:left="120" w:right="120"/>
        <w:jc w:val="left"/>
      </w:pPr>
      <w:r>
        <w:rPr>
          <w:b/>
          <w:bCs/>
          <w:color w:val="FFFFFF"/>
          <w:sz w:val="30"/>
          <w:szCs w:val="30"/>
        </w:rPr>
        <w:t xml:space="preserve">Avant-propos : comment travailler avec ce corrigé</w:t>
      </w:r>
    </w:p>
    <w:p>
      <w:pPr>
        <w:spacing w:after="140" w:before="0" w:line="276"/>
        <w:jc w:val="both"/>
      </w:pPr>
      <w:r>
        <w:rPr>
          <w:b w:val="false"/>
          <w:bCs w:val="false"/>
        </w:rPr>
        <w:t xml:space="preserve">Ce document n’est pas un simple corrigé : c’est une </w:t>
      </w:r>
      <w:r>
        <w:rPr>
          <w:b/>
          <w:bCs/>
        </w:rPr>
        <w:t xml:space="preserve">correction-cours</w:t>
      </w:r>
      <w:r>
        <w:rPr>
          <w:b w:val="false"/>
          <w:bCs w:val="false"/>
        </w:rPr>
        <w:t xml:space="preserve">, conçue comme si votre professeur reprenait le sujet avec vous à l’oral, question par question. Pour chaque question, vous trouverez systématiquement les rubriques suivantes :</w:t>
      </w:r>
    </w:p>
    <w:p>
      <w:pPr>
        <w:pStyle w:val="ListParagraph"/>
        <w:numPr>
          <w:ilvl w:val="0"/>
          <w:numId w:val="2"/>
        </w:numPr>
        <w:spacing w:after="80" w:line="276"/>
        <w:jc w:val="both"/>
      </w:pPr>
      <w:r>
        <w:rPr>
          <w:b/>
          <w:bCs/>
        </w:rPr>
        <w:t xml:space="preserve">Ce que la question vous demande</w:t>
      </w:r>
      <w:r>
        <w:rPr>
          <w:b w:val="false"/>
          <w:bCs w:val="false"/>
        </w:rPr>
        <w:t xml:space="preserve"> : la traduction de l’énoncé en travail concret ;</w:t>
      </w:r>
    </w:p>
    <w:p>
      <w:pPr>
        <w:pStyle w:val="ListParagraph"/>
        <w:numPr>
          <w:ilvl w:val="0"/>
          <w:numId w:val="2"/>
        </w:numPr>
        <w:spacing w:after="80" w:line="276"/>
        <w:jc w:val="both"/>
      </w:pPr>
      <w:r>
        <w:rPr>
          <w:b/>
          <w:bCs/>
        </w:rPr>
        <w:t xml:space="preserve">Compétence et notion du référentiel mobilisées</w:t>
      </w:r>
      <w:r>
        <w:rPr>
          <w:b w:val="false"/>
          <w:bCs w:val="false"/>
        </w:rPr>
        <w:t xml:space="preserve"> : le lien exact avec le bloc de compétences n° 3 « Assurer la gestion opérationnelle » ;</w:t>
      </w:r>
    </w:p>
    <w:p>
      <w:pPr>
        <w:pStyle w:val="ListParagraph"/>
        <w:numPr>
          <w:ilvl w:val="0"/>
          <w:numId w:val="2"/>
        </w:numPr>
        <w:spacing w:after="80" w:line="276"/>
        <w:jc w:val="both"/>
      </w:pPr>
      <w:r>
        <w:rPr>
          <w:b/>
          <w:bCs/>
        </w:rPr>
        <w:t xml:space="preserve">Rappel de cours</w:t>
      </w:r>
      <w:r>
        <w:rPr>
          <w:b w:val="false"/>
          <w:bCs w:val="false"/>
        </w:rPr>
        <w:t xml:space="preserve"> : les définitions, les formules et leur signification ;</w:t>
      </w:r>
    </w:p>
    <w:p>
      <w:pPr>
        <w:pStyle w:val="ListParagraph"/>
        <w:numPr>
          <w:ilvl w:val="0"/>
          <w:numId w:val="2"/>
        </w:numPr>
        <w:spacing w:after="80" w:line="276"/>
        <w:jc w:val="both"/>
      </w:pPr>
      <w:r>
        <w:rPr>
          <w:b/>
          <w:bCs/>
        </w:rPr>
        <w:t xml:space="preserve">Méthode à appliquer</w:t>
      </w:r>
      <w:r>
        <w:rPr>
          <w:b w:val="false"/>
          <w:bCs w:val="false"/>
        </w:rPr>
        <w:t xml:space="preserve"> : le raisonnement étape par étape, tel qu’il doit apparaître sur votre copie ;</w:t>
      </w:r>
    </w:p>
    <w:p>
      <w:pPr>
        <w:pStyle w:val="ListParagraph"/>
        <w:numPr>
          <w:ilvl w:val="0"/>
          <w:numId w:val="2"/>
        </w:numPr>
        <w:spacing w:after="80" w:line="276"/>
        <w:jc w:val="both"/>
      </w:pPr>
      <w:r>
        <w:rPr>
          <w:b/>
          <w:bCs/>
        </w:rPr>
        <w:t xml:space="preserve">Correction détaillée</w:t>
      </w:r>
      <w:r>
        <w:rPr>
          <w:b w:val="false"/>
          <w:bCs w:val="false"/>
        </w:rPr>
        <w:t xml:space="preserve"> puis </w:t>
      </w:r>
      <w:r>
        <w:rPr>
          <w:b/>
          <w:bCs/>
        </w:rPr>
        <w:t xml:space="preserve">réponse rédigée attendue</w:t>
      </w:r>
      <w:r>
        <w:rPr>
          <w:b w:val="false"/>
          <w:bCs w:val="false"/>
        </w:rPr>
        <w:t xml:space="preserve"> : ce qu’écrirait une excellente copie ;</w:t>
      </w:r>
    </w:p>
    <w:p>
      <w:pPr>
        <w:pStyle w:val="ListParagraph"/>
        <w:numPr>
          <w:ilvl w:val="0"/>
          <w:numId w:val="2"/>
        </w:numPr>
        <w:spacing w:after="80" w:line="276"/>
        <w:jc w:val="both"/>
      </w:pPr>
      <w:r>
        <w:rPr>
          <w:b/>
          <w:bCs/>
        </w:rPr>
        <w:t xml:space="preserve">Interprétation du résultat</w:t>
      </w:r>
      <w:r>
        <w:rPr>
          <w:b w:val="false"/>
          <w:bCs w:val="false"/>
        </w:rPr>
        <w:t xml:space="preserve"> : ce que le chiffre signifie pour l’unité commerciale ;</w:t>
      </w:r>
    </w:p>
    <w:p>
      <w:pPr>
        <w:pStyle w:val="ListParagraph"/>
        <w:numPr>
          <w:ilvl w:val="0"/>
          <w:numId w:val="2"/>
        </w:numPr>
        <w:spacing w:after="80" w:line="276"/>
        <w:jc w:val="both"/>
      </w:pPr>
      <w:r>
        <w:rPr>
          <w:b/>
          <w:bCs/>
        </w:rPr>
        <w:t xml:space="preserve">Conseils du correcteur</w:t>
      </w:r>
      <w:r>
        <w:rPr>
          <w:b w:val="false"/>
          <w:bCs w:val="false"/>
        </w:rPr>
        <w:t xml:space="preserve">, </w:t>
      </w:r>
      <w:r>
        <w:rPr>
          <w:b/>
          <w:bCs/>
        </w:rPr>
        <w:t xml:space="preserve">erreurs fréquentes</w:t>
      </w:r>
      <w:r>
        <w:rPr>
          <w:b w:val="false"/>
          <w:bCs w:val="false"/>
        </w:rPr>
        <w:t xml:space="preserve">, </w:t>
      </w:r>
      <w:r>
        <w:rPr>
          <w:b/>
          <w:bCs/>
        </w:rPr>
        <w:t xml:space="preserve">exemple complémentaire</w:t>
      </w:r>
      <w:r>
        <w:rPr>
          <w:b w:val="false"/>
          <w:bCs w:val="false"/>
        </w:rPr>
        <w:t xml:space="preserve"> et </w:t>
      </w:r>
      <w:r>
        <w:rPr>
          <w:b/>
          <w:bCs/>
        </w:rPr>
        <w:t xml:space="preserve">à retenir pour l’examen</w:t>
      </w:r>
      <w:r>
        <w:rPr>
          <w:b w:val="false"/>
          <w:bCs w:val="false"/>
        </w:rPr>
        <w:t xml:space="preserve">.</w:t>
      </w:r>
    </w:p>
    <w:p>
      <w:pPr>
        <w:pBdr>
          <w:left w:val="single" w:color="C55A11" w:sz="16"/>
        </w:pBdr>
        <w:shd w:fill="FBF2E4" w:val="clear"/>
        <w:spacing w:after="140" w:before="100" w:line="276"/>
        <w:ind w:left="240" w:right="240"/>
        <w:jc w:val="both"/>
      </w:pPr>
      <w:r>
        <w:rPr>
          <w:b w:val="false"/>
          <w:bCs w:val="false"/>
          <w:i/>
          <w:iCs/>
          <w:color w:val="3B3B3B"/>
        </w:rPr>
        <w:t xml:space="preserve">Un conseil avant de commencer : ne lisez jamais ce corrigé passivement. Refaites chaque calcul avec votre calculatrice, cachez la correction, rédigez votre réponse, puis comparez. C’est la seule façon de transformer une lecture en points le jour de l’épreuve.</w:t>
      </w:r>
    </w:p>
    <w:p>
      <w:pPr>
        <w:pStyle w:val="Heading2"/>
        <w:pBdr>
          <w:bottom w:val="single" w:color="2E5AA0" w:sz="6"/>
        </w:pBdr>
        <w:spacing w:after="140" w:before="300"/>
      </w:pPr>
      <w:r>
        <w:rPr>
          <w:b/>
          <w:bCs/>
          <w:color w:val="1F3864"/>
          <w:sz w:val="26"/>
          <w:szCs w:val="26"/>
        </w:rPr>
        <w:t xml:space="preserve">Présentation de l’épreuve E5 – Gestion opérationnelle</w:t>
      </w:r>
    </w:p>
    <w:p>
      <w:pPr>
        <w:spacing w:after="140" w:before="0" w:line="276"/>
        <w:jc w:val="both"/>
      </w:pPr>
      <w:r>
        <w:rPr>
          <w:b w:val="false"/>
          <w:bCs w:val="false"/>
        </w:rPr>
        <w:t xml:space="preserve">L’épreuve E5 est une </w:t>
      </w:r>
      <w:r>
        <w:rPr>
          <w:b/>
          <w:bCs/>
        </w:rPr>
        <w:t xml:space="preserve">épreuve ponctuelle écrite de 3 heures, coefficient 3</w:t>
      </w:r>
      <w:r>
        <w:rPr>
          <w:b w:val="false"/>
          <w:bCs w:val="false"/>
        </w:rPr>
        <w:t xml:space="preserve">. D’après le référentiel (annexe II d de l’arrêté du 15 octobre 2018), elle a pour objectif de valider les compétences du </w:t>
      </w:r>
      <w:r>
        <w:rPr>
          <w:b/>
          <w:bCs/>
        </w:rPr>
        <w:t xml:space="preserve">bloc n° 3 « Assurer la gestion opérationnelle »</w:t>
      </w:r>
      <w:r>
        <w:rPr>
          <w:b w:val="false"/>
          <w:bCs w:val="false"/>
        </w:rPr>
        <w:t xml:space="preserve">, qui se décompose en trois grandes compétences :</w:t>
      </w:r>
    </w:p>
    <w:p>
      <w:pPr>
        <w:pStyle w:val="ListParagraph"/>
        <w:numPr>
          <w:ilvl w:val="0"/>
          <w:numId w:val="2"/>
        </w:numPr>
        <w:spacing w:after="80" w:line="276"/>
        <w:jc w:val="both"/>
      </w:pPr>
      <w:r>
        <w:rPr>
          <w:b/>
          <w:bCs/>
        </w:rPr>
        <w:t xml:space="preserve">Gérer les opérations courantes</w:t>
      </w:r>
      <w:r>
        <w:rPr>
          <w:b w:val="false"/>
          <w:bCs w:val="false"/>
        </w:rPr>
        <w:t xml:space="preserve"> : garantir les approvisionnements, gérer les stocks, suivre les règlements et la trésorerie, fixer les prix, gérer les risques ;</w:t>
      </w:r>
    </w:p>
    <w:p>
      <w:pPr>
        <w:pStyle w:val="ListParagraph"/>
        <w:numPr>
          <w:ilvl w:val="0"/>
          <w:numId w:val="2"/>
        </w:numPr>
        <w:spacing w:after="80" w:line="276"/>
        <w:jc w:val="both"/>
      </w:pPr>
      <w:r>
        <w:rPr>
          <w:b/>
          <w:bCs/>
        </w:rPr>
        <w:t xml:space="preserve">Prévoir et budgétiser l’activité</w:t>
      </w:r>
      <w:r>
        <w:rPr>
          <w:b w:val="false"/>
          <w:bCs w:val="false"/>
        </w:rPr>
        <w:t xml:space="preserve"> : fixer des objectifs commerciaux, élaborer des budgets, participer aux décisions d’investissement ;</w:t>
      </w:r>
    </w:p>
    <w:p>
      <w:pPr>
        <w:pStyle w:val="ListParagraph"/>
        <w:numPr>
          <w:ilvl w:val="0"/>
          <w:numId w:val="2"/>
        </w:numPr>
        <w:spacing w:after="80" w:line="276"/>
        <w:jc w:val="both"/>
      </w:pPr>
      <w:r>
        <w:rPr>
          <w:b/>
          <w:bCs/>
        </w:rPr>
        <w:t xml:space="preserve">Analyser les performances</w:t>
      </w:r>
      <w:r>
        <w:rPr>
          <w:b w:val="false"/>
          <w:bCs w:val="false"/>
        </w:rPr>
        <w:t xml:space="preserve"> : concevoir et analyser un tableau de bord, analyser la rentabilité de l’activité, proposer des mesures correctrices, rendre compte.</w:t>
      </w:r>
    </w:p>
    <w:p>
      <w:pPr>
        <w:spacing w:after="140" w:before="0" w:line="276"/>
        <w:jc w:val="both"/>
      </w:pPr>
      <w:r>
        <w:rPr>
          <w:b w:val="false"/>
          <w:bCs w:val="false"/>
        </w:rPr>
        <w:t xml:space="preserve">Le référentiel précise que « l’épreuve prend appui sur l’étude d’un cas de gestion d’une unité commerciale » et « peut comporter des questions à choix multiples ». C’est exactement la structure du sujet 2024 : un cas (NEWAY) en deux dossiers, puis un QCM où le raisonnement doit être présenté sur la copie.</w:t>
      </w:r>
    </w:p>
    <w:p>
      <w:pPr>
        <w:spacing w:after="140" w:before="0" w:line="276"/>
        <w:jc w:val="both"/>
      </w:pPr>
      <w:r>
        <w:rPr>
          <w:b w:val="false"/>
          <w:bCs w:val="false"/>
        </w:rPr>
        <w:t xml:space="preserve">Les </w:t>
      </w:r>
      <w:r>
        <w:rPr>
          <w:b/>
          <w:bCs/>
        </w:rPr>
        <w:t xml:space="preserve">critères d’évaluation</w:t>
      </w:r>
      <w:r>
        <w:rPr>
          <w:b w:val="false"/>
          <w:bCs w:val="false"/>
        </w:rPr>
        <w:t xml:space="preserve"> listés par le référentiel sont votre grille de lecture : les approvisionnements sont assurés et optimisés, le suivi des stocks est rigoureux, les calculs de trésorerie sont justes, les propositions de prix sont réalistes, les objectifs fixés sont réalistes, les propositions de décision d’investissement sont pertinentes, les tableaux de bord sont opérationnels, les données quantitatives sont judicieusement mobilisées, les mesures correctrices sont cohérentes. Chaque question du sujet 2024 active un ou plusieurs de ces critères : nous le préciserons à chaque fois.</w:t>
      </w:r>
    </w:p>
    <w:p>
      <w:pPr>
        <w:pStyle w:val="Heading2"/>
        <w:pBdr>
          <w:bottom w:val="single" w:color="2E5AA0" w:sz="6"/>
        </w:pBdr>
        <w:spacing w:after="140" w:before="300"/>
      </w:pPr>
      <w:r>
        <w:rPr>
          <w:b/>
          <w:bCs/>
          <w:color w:val="1F3864"/>
          <w:sz w:val="26"/>
          <w:szCs w:val="26"/>
        </w:rPr>
        <w:t xml:space="preserve">Cartographie du sujet 2024 et gestion du temps</w:t>
      </w:r>
    </w:p>
    <w:tbl>
      <w:tblPr>
        <w:tblW w:type="dxa" w:w="9350"/>
        <w:jc w:val="center"/>
        <w:tblBorders>
          <w:top w:val="single" w:color="auto" w:sz="4"/>
          <w:left w:val="single" w:color="auto" w:sz="4"/>
          <w:bottom w:val="single" w:color="auto" w:sz="4"/>
          <w:right w:val="single" w:color="auto" w:sz="4"/>
          <w:insideH w:val="single" w:color="auto" w:sz="4"/>
          <w:insideV w:val="single" w:color="auto" w:sz="4"/>
        </w:tblBorders>
      </w:tblPr>
      <w:tblGrid>
        <w:gridCol w:w="1200"/>
        <w:gridCol w:w="900"/>
        <w:gridCol w:w="2900"/>
        <w:gridCol w:w="2900"/>
        <w:gridCol w:w="1450"/>
      </w:tblGrid>
      <w:tr>
        <w:trPr>
          <w:tblHeader/>
        </w:trPr>
        <w:tc>
          <w:tcPr>
            <w:tcW w:type="dxa" w:w="12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Partie</w:t>
            </w:r>
          </w:p>
        </w:tc>
        <w:tc>
          <w:tcPr>
            <w:tcW w:type="dxa" w:w="9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Question</w:t>
            </w:r>
          </w:p>
        </w:tc>
        <w:tc>
          <w:tcPr>
            <w:tcW w:type="dxa" w:w="29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Thème de gestion</w:t>
            </w:r>
          </w:p>
        </w:tc>
        <w:tc>
          <w:tcPr>
            <w:tcW w:type="dxa" w:w="29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Compétence du bloc 3</w:t>
            </w:r>
          </w:p>
        </w:tc>
        <w:tc>
          <w:tcPr>
            <w:tcW w:type="dxa" w:w="14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Temps conseillé</w:t>
            </w:r>
          </w:p>
        </w:tc>
      </w:tr>
      <w:tr>
        <w:tc>
          <w:tcPr>
            <w:tcW w:type="dxa" w:w="1200"/>
            <w:tcMar>
              <w:top w:type="dxa" w:w="60"/>
              <w:left w:type="dxa" w:w="100"/>
              <w:bottom w:type="dxa" w:w="60"/>
              <w:right w:type="dxa" w:w="100"/>
            </w:tcMar>
            <w:vAlign w:val="center"/>
          </w:tcPr>
          <w:p>
            <w:pPr>
              <w:spacing w:after="0"/>
              <w:jc w:val="center"/>
            </w:pPr>
            <w:r>
              <w:rPr>
                <w:b w:val="false"/>
                <w:bCs w:val="false"/>
                <w:sz w:val="19"/>
                <w:szCs w:val="19"/>
              </w:rPr>
              <w:t xml:space="preserve">Dossier 1</w:t>
            </w:r>
          </w:p>
        </w:tc>
        <w:tc>
          <w:tcPr>
            <w:tcW w:type="dxa" w:w="900"/>
            <w:tcMar>
              <w:top w:type="dxa" w:w="60"/>
              <w:left w:type="dxa" w:w="100"/>
              <w:bottom w:type="dxa" w:w="60"/>
              <w:right w:type="dxa" w:w="100"/>
            </w:tcMar>
            <w:vAlign w:val="center"/>
          </w:tcPr>
          <w:p>
            <w:pPr>
              <w:spacing w:after="0"/>
              <w:jc w:val="center"/>
            </w:pPr>
            <w:r>
              <w:rPr>
                <w:b w:val="false"/>
                <w:bCs w:val="false"/>
                <w:sz w:val="19"/>
                <w:szCs w:val="19"/>
              </w:rPr>
              <w:t xml:space="preserve">1.1</w:t>
            </w:r>
          </w:p>
        </w:tc>
        <w:tc>
          <w:tcPr>
            <w:tcW w:type="dxa" w:w="2900"/>
            <w:tcMar>
              <w:top w:type="dxa" w:w="60"/>
              <w:left w:type="dxa" w:w="100"/>
              <w:bottom w:type="dxa" w:w="60"/>
              <w:right w:type="dxa" w:w="100"/>
            </w:tcMar>
            <w:vAlign w:val="center"/>
          </w:tcPr>
          <w:p>
            <w:pPr>
              <w:spacing w:after="0"/>
              <w:jc w:val="center"/>
            </w:pPr>
            <w:r>
              <w:rPr>
                <w:b w:val="false"/>
                <w:bCs w:val="false"/>
                <w:sz w:val="19"/>
                <w:szCs w:val="19"/>
              </w:rPr>
              <w:t xml:space="preserve">Tableau de bord et analyse des performances</w:t>
            </w:r>
          </w:p>
        </w:tc>
        <w:tc>
          <w:tcPr>
            <w:tcW w:type="dxa" w:w="2900"/>
            <w:tcMar>
              <w:top w:type="dxa" w:w="60"/>
              <w:left w:type="dxa" w:w="100"/>
              <w:bottom w:type="dxa" w:w="60"/>
              <w:right w:type="dxa" w:w="100"/>
            </w:tcMar>
            <w:vAlign w:val="center"/>
          </w:tcPr>
          <w:p>
            <w:pPr>
              <w:spacing w:after="0"/>
              <w:jc w:val="center"/>
            </w:pPr>
            <w:r>
              <w:rPr>
                <w:b w:val="false"/>
                <w:bCs w:val="false"/>
                <w:sz w:val="19"/>
                <w:szCs w:val="19"/>
              </w:rPr>
              <w:t xml:space="preserve">Analyser les performances</w:t>
            </w:r>
          </w:p>
        </w:tc>
        <w:tc>
          <w:tcPr>
            <w:tcW w:type="dxa" w:w="1450"/>
            <w:tcMar>
              <w:top w:type="dxa" w:w="60"/>
              <w:left w:type="dxa" w:w="100"/>
              <w:bottom w:type="dxa" w:w="60"/>
              <w:right w:type="dxa" w:w="100"/>
            </w:tcMar>
            <w:vAlign w:val="center"/>
          </w:tcPr>
          <w:p>
            <w:pPr>
              <w:spacing w:after="0"/>
              <w:jc w:val="center"/>
            </w:pPr>
            <w:r>
              <w:rPr>
                <w:b w:val="false"/>
                <w:bCs w:val="false"/>
                <w:sz w:val="19"/>
                <w:szCs w:val="19"/>
              </w:rPr>
              <w:t xml:space="preserve">40 min</w:t>
            </w:r>
          </w:p>
        </w:tc>
      </w:tr>
      <w:tr>
        <w:tc>
          <w:tcPr>
            <w:tcW w:type="dxa" w:w="1200"/>
            <w:tcMar>
              <w:top w:type="dxa" w:w="60"/>
              <w:left w:type="dxa" w:w="100"/>
              <w:bottom w:type="dxa" w:w="60"/>
              <w:right w:type="dxa" w:w="100"/>
            </w:tcMar>
            <w:vAlign w:val="center"/>
          </w:tcPr>
          <w:p>
            <w:pPr>
              <w:spacing w:after="0"/>
              <w:jc w:val="center"/>
            </w:pPr>
            <w:r>
              <w:rPr>
                <w:b w:val="false"/>
                <w:bCs w:val="false"/>
                <w:sz w:val="19"/>
                <w:szCs w:val="19"/>
              </w:rPr>
              <w:t xml:space="preserve">Dossier 1</w:t>
            </w:r>
          </w:p>
        </w:tc>
        <w:tc>
          <w:tcPr>
            <w:tcW w:type="dxa" w:w="900"/>
            <w:tcMar>
              <w:top w:type="dxa" w:w="60"/>
              <w:left w:type="dxa" w:w="100"/>
              <w:bottom w:type="dxa" w:w="60"/>
              <w:right w:type="dxa" w:w="100"/>
            </w:tcMar>
            <w:vAlign w:val="center"/>
          </w:tcPr>
          <w:p>
            <w:pPr>
              <w:spacing w:after="0"/>
              <w:jc w:val="center"/>
            </w:pPr>
            <w:r>
              <w:rPr>
                <w:b w:val="false"/>
                <w:bCs w:val="false"/>
                <w:sz w:val="19"/>
                <w:szCs w:val="19"/>
              </w:rPr>
              <w:t xml:space="preserve">1.2</w:t>
            </w:r>
          </w:p>
        </w:tc>
        <w:tc>
          <w:tcPr>
            <w:tcW w:type="dxa" w:w="2900"/>
            <w:tcMar>
              <w:top w:type="dxa" w:w="60"/>
              <w:left w:type="dxa" w:w="100"/>
              <w:bottom w:type="dxa" w:w="60"/>
              <w:right w:type="dxa" w:w="100"/>
            </w:tcMar>
            <w:vAlign w:val="center"/>
          </w:tcPr>
          <w:p>
            <w:pPr>
              <w:spacing w:after="0"/>
              <w:jc w:val="center"/>
            </w:pPr>
            <w:r>
              <w:rPr>
                <w:b w:val="false"/>
                <w:bCs w:val="false"/>
                <w:sz w:val="19"/>
                <w:szCs w:val="19"/>
              </w:rPr>
              <w:t xml:space="preserve">Conditions fournisseur, remises, taux de marque</w:t>
            </w:r>
          </w:p>
        </w:tc>
        <w:tc>
          <w:tcPr>
            <w:tcW w:type="dxa" w:w="2900"/>
            <w:tcMar>
              <w:top w:type="dxa" w:w="60"/>
              <w:left w:type="dxa" w:w="100"/>
              <w:bottom w:type="dxa" w:w="60"/>
              <w:right w:type="dxa" w:w="100"/>
            </w:tcMar>
            <w:vAlign w:val="center"/>
          </w:tcPr>
          <w:p>
            <w:pPr>
              <w:spacing w:after="0"/>
              <w:jc w:val="center"/>
            </w:pPr>
            <w:r>
              <w:rPr>
                <w:b w:val="false"/>
                <w:bCs w:val="false"/>
                <w:sz w:val="19"/>
                <w:szCs w:val="19"/>
              </w:rPr>
              <w:t xml:space="preserve">Gérer les opérations courantes / Fixer les prix</w:t>
            </w:r>
          </w:p>
        </w:tc>
        <w:tc>
          <w:tcPr>
            <w:tcW w:type="dxa" w:w="1450"/>
            <w:tcMar>
              <w:top w:type="dxa" w:w="60"/>
              <w:left w:type="dxa" w:w="100"/>
              <w:bottom w:type="dxa" w:w="60"/>
              <w:right w:type="dxa" w:w="100"/>
            </w:tcMar>
            <w:vAlign w:val="center"/>
          </w:tcPr>
          <w:p>
            <w:pPr>
              <w:spacing w:after="0"/>
              <w:jc w:val="center"/>
            </w:pPr>
            <w:r>
              <w:rPr>
                <w:b w:val="false"/>
                <w:bCs w:val="false"/>
                <w:sz w:val="19"/>
                <w:szCs w:val="19"/>
              </w:rPr>
              <w:t xml:space="preserve">30 min</w:t>
            </w:r>
          </w:p>
        </w:tc>
      </w:tr>
      <w:tr>
        <w:tc>
          <w:tcPr>
            <w:tcW w:type="dxa" w:w="1200"/>
            <w:tcMar>
              <w:top w:type="dxa" w:w="60"/>
              <w:left w:type="dxa" w:w="100"/>
              <w:bottom w:type="dxa" w:w="60"/>
              <w:right w:type="dxa" w:w="100"/>
            </w:tcMar>
            <w:vAlign w:val="center"/>
          </w:tcPr>
          <w:p>
            <w:pPr>
              <w:spacing w:after="0"/>
              <w:jc w:val="center"/>
            </w:pPr>
            <w:r>
              <w:rPr>
                <w:b w:val="false"/>
                <w:bCs w:val="false"/>
                <w:sz w:val="19"/>
                <w:szCs w:val="19"/>
              </w:rPr>
              <w:t xml:space="preserve">Dossier 2</w:t>
            </w:r>
          </w:p>
        </w:tc>
        <w:tc>
          <w:tcPr>
            <w:tcW w:type="dxa" w:w="900"/>
            <w:tcMar>
              <w:top w:type="dxa" w:w="60"/>
              <w:left w:type="dxa" w:w="100"/>
              <w:bottom w:type="dxa" w:w="60"/>
              <w:right w:type="dxa" w:w="100"/>
            </w:tcMar>
            <w:vAlign w:val="center"/>
          </w:tcPr>
          <w:p>
            <w:pPr>
              <w:spacing w:after="0"/>
              <w:jc w:val="center"/>
            </w:pPr>
            <w:r>
              <w:rPr>
                <w:b w:val="false"/>
                <w:bCs w:val="false"/>
                <w:sz w:val="19"/>
                <w:szCs w:val="19"/>
              </w:rPr>
              <w:t xml:space="preserve">2.1</w:t>
            </w:r>
          </w:p>
        </w:tc>
        <w:tc>
          <w:tcPr>
            <w:tcW w:type="dxa" w:w="2900"/>
            <w:tcMar>
              <w:top w:type="dxa" w:w="60"/>
              <w:left w:type="dxa" w:w="100"/>
              <w:bottom w:type="dxa" w:w="60"/>
              <w:right w:type="dxa" w:w="100"/>
            </w:tcMar>
            <w:vAlign w:val="center"/>
          </w:tcPr>
          <w:p>
            <w:pPr>
              <w:spacing w:after="0"/>
              <w:jc w:val="center"/>
            </w:pPr>
            <w:r>
              <w:rPr>
                <w:b w:val="false"/>
                <w:bCs w:val="false"/>
                <w:sz w:val="19"/>
                <w:szCs w:val="19"/>
              </w:rPr>
              <w:t xml:space="preserve">Prévision des ventes et saisonnalité</w:t>
            </w:r>
          </w:p>
        </w:tc>
        <w:tc>
          <w:tcPr>
            <w:tcW w:type="dxa" w:w="2900"/>
            <w:tcMar>
              <w:top w:type="dxa" w:w="60"/>
              <w:left w:type="dxa" w:w="100"/>
              <w:bottom w:type="dxa" w:w="60"/>
              <w:right w:type="dxa" w:w="100"/>
            </w:tcMar>
            <w:vAlign w:val="center"/>
          </w:tcPr>
          <w:p>
            <w:pPr>
              <w:spacing w:after="0"/>
              <w:jc w:val="center"/>
            </w:pPr>
            <w:r>
              <w:rPr>
                <w:b w:val="false"/>
                <w:bCs w:val="false"/>
                <w:sz w:val="19"/>
                <w:szCs w:val="19"/>
              </w:rPr>
              <w:t xml:space="preserve">Prévoir et budgétiser l’activité</w:t>
            </w:r>
          </w:p>
        </w:tc>
        <w:tc>
          <w:tcPr>
            <w:tcW w:type="dxa" w:w="1450"/>
            <w:tcMar>
              <w:top w:type="dxa" w:w="60"/>
              <w:left w:type="dxa" w:w="100"/>
              <w:bottom w:type="dxa" w:w="60"/>
              <w:right w:type="dxa" w:w="100"/>
            </w:tcMar>
            <w:vAlign w:val="center"/>
          </w:tcPr>
          <w:p>
            <w:pPr>
              <w:spacing w:after="0"/>
              <w:jc w:val="center"/>
            </w:pPr>
            <w:r>
              <w:rPr>
                <w:b w:val="false"/>
                <w:bCs w:val="false"/>
                <w:sz w:val="19"/>
                <w:szCs w:val="19"/>
              </w:rPr>
              <w:t xml:space="preserve">20 min</w:t>
            </w:r>
          </w:p>
        </w:tc>
      </w:tr>
      <w:tr>
        <w:tc>
          <w:tcPr>
            <w:tcW w:type="dxa" w:w="1200"/>
            <w:tcMar>
              <w:top w:type="dxa" w:w="60"/>
              <w:left w:type="dxa" w:w="100"/>
              <w:bottom w:type="dxa" w:w="60"/>
              <w:right w:type="dxa" w:w="100"/>
            </w:tcMar>
            <w:vAlign w:val="center"/>
          </w:tcPr>
          <w:p>
            <w:pPr>
              <w:spacing w:after="0"/>
              <w:jc w:val="center"/>
            </w:pPr>
            <w:r>
              <w:rPr>
                <w:b w:val="false"/>
                <w:bCs w:val="false"/>
                <w:sz w:val="19"/>
                <w:szCs w:val="19"/>
              </w:rPr>
              <w:t xml:space="preserve">Dossier 2</w:t>
            </w:r>
          </w:p>
        </w:tc>
        <w:tc>
          <w:tcPr>
            <w:tcW w:type="dxa" w:w="900"/>
            <w:tcMar>
              <w:top w:type="dxa" w:w="60"/>
              <w:left w:type="dxa" w:w="100"/>
              <w:bottom w:type="dxa" w:w="60"/>
              <w:right w:type="dxa" w:w="100"/>
            </w:tcMar>
            <w:vAlign w:val="center"/>
          </w:tcPr>
          <w:p>
            <w:pPr>
              <w:spacing w:after="0"/>
              <w:jc w:val="center"/>
            </w:pPr>
            <w:r>
              <w:rPr>
                <w:b w:val="false"/>
                <w:bCs w:val="false"/>
                <w:sz w:val="19"/>
                <w:szCs w:val="19"/>
              </w:rPr>
              <w:t xml:space="preserve">2.2</w:t>
            </w:r>
          </w:p>
        </w:tc>
        <w:tc>
          <w:tcPr>
            <w:tcW w:type="dxa" w:w="2900"/>
            <w:tcMar>
              <w:top w:type="dxa" w:w="60"/>
              <w:left w:type="dxa" w:w="100"/>
              <w:bottom w:type="dxa" w:w="60"/>
              <w:right w:type="dxa" w:w="100"/>
            </w:tcMar>
            <w:vAlign w:val="center"/>
          </w:tcPr>
          <w:p>
            <w:pPr>
              <w:spacing w:after="0"/>
              <w:jc w:val="center"/>
            </w:pPr>
            <w:r>
              <w:rPr>
                <w:b w:val="false"/>
                <w:bCs w:val="false"/>
                <w:sz w:val="19"/>
                <w:szCs w:val="19"/>
              </w:rPr>
              <w:t xml:space="preserve">Programme d’approvisionnement</w:t>
            </w:r>
          </w:p>
        </w:tc>
        <w:tc>
          <w:tcPr>
            <w:tcW w:type="dxa" w:w="2900"/>
            <w:tcMar>
              <w:top w:type="dxa" w:w="60"/>
              <w:left w:type="dxa" w:w="100"/>
              <w:bottom w:type="dxa" w:w="60"/>
              <w:right w:type="dxa" w:w="100"/>
            </w:tcMar>
            <w:vAlign w:val="center"/>
          </w:tcPr>
          <w:p>
            <w:pPr>
              <w:spacing w:after="0"/>
              <w:jc w:val="center"/>
            </w:pPr>
            <w:r>
              <w:rPr>
                <w:b w:val="false"/>
                <w:bCs w:val="false"/>
                <w:sz w:val="19"/>
                <w:szCs w:val="19"/>
              </w:rPr>
              <w:t xml:space="preserve">Garantir les approvisionnements / Gérer les stocks</w:t>
            </w:r>
          </w:p>
        </w:tc>
        <w:tc>
          <w:tcPr>
            <w:tcW w:type="dxa" w:w="1450"/>
            <w:tcMar>
              <w:top w:type="dxa" w:w="60"/>
              <w:left w:type="dxa" w:w="100"/>
              <w:bottom w:type="dxa" w:w="60"/>
              <w:right w:type="dxa" w:w="100"/>
            </w:tcMar>
            <w:vAlign w:val="center"/>
          </w:tcPr>
          <w:p>
            <w:pPr>
              <w:spacing w:after="0"/>
              <w:jc w:val="center"/>
            </w:pPr>
            <w:r>
              <w:rPr>
                <w:b w:val="false"/>
                <w:bCs w:val="false"/>
                <w:sz w:val="19"/>
                <w:szCs w:val="19"/>
              </w:rPr>
              <w:t xml:space="preserve">30 min</w:t>
            </w:r>
          </w:p>
        </w:tc>
      </w:tr>
      <w:tr>
        <w:tc>
          <w:tcPr>
            <w:tcW w:type="dxa" w:w="1200"/>
            <w:tcMar>
              <w:top w:type="dxa" w:w="60"/>
              <w:left w:type="dxa" w:w="100"/>
              <w:bottom w:type="dxa" w:w="60"/>
              <w:right w:type="dxa" w:w="100"/>
            </w:tcMar>
            <w:vAlign w:val="center"/>
          </w:tcPr>
          <w:p>
            <w:pPr>
              <w:spacing w:after="0"/>
              <w:jc w:val="center"/>
            </w:pPr>
            <w:r>
              <w:rPr>
                <w:b w:val="false"/>
                <w:bCs w:val="false"/>
                <w:sz w:val="19"/>
                <w:szCs w:val="19"/>
              </w:rPr>
              <w:t xml:space="preserve">Dossier 2</w:t>
            </w:r>
          </w:p>
        </w:tc>
        <w:tc>
          <w:tcPr>
            <w:tcW w:type="dxa" w:w="900"/>
            <w:tcMar>
              <w:top w:type="dxa" w:w="60"/>
              <w:left w:type="dxa" w:w="100"/>
              <w:bottom w:type="dxa" w:w="60"/>
              <w:right w:type="dxa" w:w="100"/>
            </w:tcMar>
            <w:vAlign w:val="center"/>
          </w:tcPr>
          <w:p>
            <w:pPr>
              <w:spacing w:after="0"/>
              <w:jc w:val="center"/>
            </w:pPr>
            <w:r>
              <w:rPr>
                <w:b w:val="false"/>
                <w:bCs w:val="false"/>
                <w:sz w:val="19"/>
                <w:szCs w:val="19"/>
              </w:rPr>
              <w:t xml:space="preserve">2.3</w:t>
            </w:r>
          </w:p>
        </w:tc>
        <w:tc>
          <w:tcPr>
            <w:tcW w:type="dxa" w:w="2900"/>
            <w:tcMar>
              <w:top w:type="dxa" w:w="60"/>
              <w:left w:type="dxa" w:w="100"/>
              <w:bottom w:type="dxa" w:w="60"/>
              <w:right w:type="dxa" w:w="100"/>
            </w:tcMar>
            <w:vAlign w:val="center"/>
          </w:tcPr>
          <w:p>
            <w:pPr>
              <w:spacing w:after="0"/>
              <w:jc w:val="center"/>
            </w:pPr>
            <w:r>
              <w:rPr>
                <w:b w:val="false"/>
                <w:bCs w:val="false"/>
                <w:sz w:val="19"/>
                <w:szCs w:val="19"/>
              </w:rPr>
              <w:t xml:space="preserve">Rentabilité d’une animation commerciale</w:t>
            </w:r>
          </w:p>
        </w:tc>
        <w:tc>
          <w:tcPr>
            <w:tcW w:type="dxa" w:w="2900"/>
            <w:tcMar>
              <w:top w:type="dxa" w:w="60"/>
              <w:left w:type="dxa" w:w="100"/>
              <w:bottom w:type="dxa" w:w="60"/>
              <w:right w:type="dxa" w:w="100"/>
            </w:tcMar>
            <w:vAlign w:val="center"/>
          </w:tcPr>
          <w:p>
            <w:pPr>
              <w:spacing w:after="0"/>
              <w:jc w:val="center"/>
            </w:pPr>
            <w:r>
              <w:rPr>
                <w:b w:val="false"/>
                <w:bCs w:val="false"/>
                <w:sz w:val="19"/>
                <w:szCs w:val="19"/>
              </w:rPr>
              <w:t xml:space="preserve">Analyser la rentabilité de l’activité</w:t>
            </w:r>
          </w:p>
        </w:tc>
        <w:tc>
          <w:tcPr>
            <w:tcW w:type="dxa" w:w="1450"/>
            <w:tcMar>
              <w:top w:type="dxa" w:w="60"/>
              <w:left w:type="dxa" w:w="100"/>
              <w:bottom w:type="dxa" w:w="60"/>
              <w:right w:type="dxa" w:w="100"/>
            </w:tcMar>
            <w:vAlign w:val="center"/>
          </w:tcPr>
          <w:p>
            <w:pPr>
              <w:spacing w:after="0"/>
              <w:jc w:val="center"/>
            </w:pPr>
            <w:r>
              <w:rPr>
                <w:b w:val="false"/>
                <w:bCs w:val="false"/>
                <w:sz w:val="19"/>
                <w:szCs w:val="19"/>
              </w:rPr>
              <w:t xml:space="preserve">30 min</w:t>
            </w:r>
          </w:p>
        </w:tc>
      </w:tr>
      <w:tr>
        <w:tc>
          <w:tcPr>
            <w:tcW w:type="dxa" w:w="1200"/>
            <w:tcMar>
              <w:top w:type="dxa" w:w="60"/>
              <w:left w:type="dxa" w:w="100"/>
              <w:bottom w:type="dxa" w:w="60"/>
              <w:right w:type="dxa" w:w="100"/>
            </w:tcMar>
            <w:vAlign w:val="center"/>
          </w:tcPr>
          <w:p>
            <w:pPr>
              <w:spacing w:after="0"/>
              <w:jc w:val="center"/>
            </w:pPr>
            <w:r>
              <w:rPr>
                <w:b w:val="false"/>
                <w:bCs w:val="false"/>
                <w:sz w:val="19"/>
                <w:szCs w:val="19"/>
              </w:rPr>
              <w:t xml:space="preserve">QCM</w:t>
            </w:r>
          </w:p>
        </w:tc>
        <w:tc>
          <w:tcPr>
            <w:tcW w:type="dxa" w:w="900"/>
            <w:tcMar>
              <w:top w:type="dxa" w:w="60"/>
              <w:left w:type="dxa" w:w="100"/>
              <w:bottom w:type="dxa" w:w="60"/>
              <w:right w:type="dxa" w:w="100"/>
            </w:tcMar>
            <w:vAlign w:val="center"/>
          </w:tcPr>
          <w:p>
            <w:pPr>
              <w:spacing w:after="0"/>
              <w:jc w:val="center"/>
            </w:pPr>
            <w:r>
              <w:rPr>
                <w:b w:val="false"/>
                <w:bCs w:val="false"/>
                <w:sz w:val="19"/>
                <w:szCs w:val="19"/>
              </w:rPr>
              <w:t xml:space="preserve">1 à 3</w:t>
            </w:r>
          </w:p>
        </w:tc>
        <w:tc>
          <w:tcPr>
            <w:tcW w:type="dxa" w:w="2900"/>
            <w:tcMar>
              <w:top w:type="dxa" w:w="60"/>
              <w:left w:type="dxa" w:w="100"/>
              <w:bottom w:type="dxa" w:w="60"/>
              <w:right w:type="dxa" w:w="100"/>
            </w:tcMar>
            <w:vAlign w:val="center"/>
          </w:tcPr>
          <w:p>
            <w:pPr>
              <w:spacing w:after="0"/>
              <w:jc w:val="center"/>
            </w:pPr>
            <w:r>
              <w:rPr>
                <w:b w:val="false"/>
                <w:bCs w:val="false"/>
                <w:sz w:val="19"/>
                <w:szCs w:val="19"/>
              </w:rPr>
              <w:t xml:space="preserve">Escompte, VAN, délai de récupération</w:t>
            </w:r>
          </w:p>
        </w:tc>
        <w:tc>
          <w:tcPr>
            <w:tcW w:type="dxa" w:w="2900"/>
            <w:tcMar>
              <w:top w:type="dxa" w:w="60"/>
              <w:left w:type="dxa" w:w="100"/>
              <w:bottom w:type="dxa" w:w="60"/>
              <w:right w:type="dxa" w:w="100"/>
            </w:tcMar>
            <w:vAlign w:val="center"/>
          </w:tcPr>
          <w:p>
            <w:pPr>
              <w:spacing w:after="0"/>
              <w:jc w:val="center"/>
            </w:pPr>
            <w:r>
              <w:rPr>
                <w:b w:val="false"/>
                <w:bCs w:val="false"/>
                <w:sz w:val="19"/>
                <w:szCs w:val="19"/>
              </w:rPr>
              <w:t xml:space="preserve">Trésorerie / Décisions d’investissement</w:t>
            </w:r>
          </w:p>
        </w:tc>
        <w:tc>
          <w:tcPr>
            <w:tcW w:type="dxa" w:w="1450"/>
            <w:tcMar>
              <w:top w:type="dxa" w:w="60"/>
              <w:left w:type="dxa" w:w="100"/>
              <w:bottom w:type="dxa" w:w="60"/>
              <w:right w:type="dxa" w:w="100"/>
            </w:tcMar>
            <w:vAlign w:val="center"/>
          </w:tcPr>
          <w:p>
            <w:pPr>
              <w:spacing w:after="0"/>
              <w:jc w:val="center"/>
            </w:pPr>
            <w:r>
              <w:rPr>
                <w:b w:val="false"/>
                <w:bCs w:val="false"/>
                <w:sz w:val="19"/>
                <w:szCs w:val="19"/>
              </w:rPr>
              <w:t xml:space="preserve">25 min</w:t>
            </w:r>
          </w:p>
        </w:tc>
      </w:tr>
    </w:tbl>
    <w:p>
      <w:pPr>
        <w:spacing w:after="140" w:before="160" w:line="276"/>
        <w:jc w:val="both"/>
      </w:pPr>
      <w:r>
        <w:rPr>
          <w:b w:val="false"/>
          <w:bCs w:val="false"/>
        </w:rPr>
        <w:t xml:space="preserve">Il reste ainsi environ </w:t>
      </w:r>
      <w:r>
        <w:rPr>
          <w:b/>
          <w:bCs/>
        </w:rPr>
        <w:t xml:space="preserve">5 minutes de marge</w:t>
      </w:r>
      <w:r>
        <w:rPr>
          <w:b w:val="false"/>
          <w:bCs w:val="false"/>
        </w:rPr>
        <w:t xml:space="preserve"> pour la relecture. Cette répartition n’est pas officielle, mais elle correspond au poids probable des questions dans le barème (le tableau de bord et la rentabilité de l’animation sont traditionnellement les questions les mieux dotées).</w:t>
      </w:r>
    </w:p>
    <w:p>
      <w:pPr>
        <w:pBdr>
          <w:left w:val="single" w:color="C55A11" w:sz="16"/>
        </w:pBdr>
        <w:shd w:fill="FBF2E4" w:val="clear"/>
        <w:spacing w:after="140" w:before="100" w:line="276"/>
        <w:ind w:left="240" w:right="240"/>
        <w:jc w:val="both"/>
      </w:pPr>
      <w:r>
        <w:rPr>
          <w:b w:val="false"/>
          <w:bCs w:val="false"/>
          <w:i/>
          <w:iCs/>
          <w:color w:val="3B3B3B"/>
        </w:rPr>
        <w:t xml:space="preserve">Le jour J, commencez par feuilleter le sujet en entier pendant 5 minutes : repérez les annexes rattachées à chaque question (elles sont indiquées en tête de dossier) et traitez d’abord ce que vous maîtrisez le mieux. Le QCM, souvent délaissé par manque de temps, rapporte des points rapides à qui connaît ses formules d’escompte et de VAN : ne le sacrifiez pas.</w:t>
      </w:r>
    </w:p>
    <w:p>
      <w:r>
        <w:br w:type="page"/>
      </w:r>
    </w:p>
    <w:p>
      <w:pPr>
        <w:pStyle w:val="Heading1"/>
        <w:pBdr>
          <w:bottom w:val="single" w:color="C55A11" w:sz="8"/>
        </w:pBdr>
        <w:shd w:fill="1F3864" w:val="clear"/>
        <w:spacing w:after="200" w:before="240"/>
        <w:ind w:left="120" w:right="120"/>
        <w:jc w:val="left"/>
      </w:pPr>
      <w:r>
        <w:rPr>
          <w:b/>
          <w:bCs/>
          <w:color w:val="FFFFFF"/>
          <w:sz w:val="30"/>
          <w:szCs w:val="30"/>
        </w:rPr>
        <w:t xml:space="preserve">DOSSIER 1 – Analyse des performances et référencement du « Top One »</w:t>
      </w:r>
    </w:p>
    <w:p>
      <w:pPr>
        <w:spacing w:after="140" w:before="0" w:line="276"/>
        <w:jc w:val="both"/>
      </w:pPr>
      <w:r>
        <w:rPr>
          <w:b/>
          <w:bCs/>
        </w:rPr>
        <w:t xml:space="preserve">Contexte.</w:t>
      </w:r>
      <w:r>
        <w:rPr>
          <w:b w:val="false"/>
          <w:bCs w:val="false"/>
        </w:rPr>
        <w:t xml:space="preserve"> Le magasin NEWAY (400 m², zone commerciale d’Atlantis à Saint-Herblain, environ 1 million d’euros de chiffre d’affaires) subit une double pression : l’arrivée de concurrents spécialisés dans les sports de glisse et un engouement croissant pour les sports nautiques. Thomas Martin, le dirigeant, veut d’abord </w:t>
      </w:r>
      <w:r>
        <w:rPr>
          <w:b/>
          <w:bCs/>
        </w:rPr>
        <w:t xml:space="preserve">mesurer</w:t>
      </w:r>
      <w:r>
        <w:rPr>
          <w:b w:val="false"/>
          <w:bCs w:val="false"/>
        </w:rPr>
        <w:t xml:space="preserve"> l’impact de ces évolutions (question 1.1), puis </w:t>
      </w:r>
      <w:r>
        <w:rPr>
          <w:b/>
          <w:bCs/>
        </w:rPr>
        <w:t xml:space="preserve">décider</w:t>
      </w:r>
      <w:r>
        <w:rPr>
          <w:b w:val="false"/>
          <w:bCs w:val="false"/>
        </w:rPr>
        <w:t xml:space="preserve"> du référencement d’un nouveau produit, l’aile de wing foil « Top One » du fournisseur SFA (question 1.2). Annexes mobilisées : 1 à 3.</w:t>
      </w:r>
    </w:p>
    <w:p>
      <w:pPr>
        <w:pStyle w:val="Heading2"/>
        <w:pBdr>
          <w:bottom w:val="single" w:color="2E5AA0" w:sz="6"/>
        </w:pBdr>
        <w:spacing w:after="140" w:before="300"/>
      </w:pPr>
      <w:r>
        <w:rPr>
          <w:b/>
          <w:bCs/>
          <w:color w:val="1F3864"/>
          <w:sz w:val="26"/>
          <w:szCs w:val="26"/>
        </w:rPr>
        <w:t xml:space="preserve">Question 1.1 – Compléter le tableau de bord 2023 et analyser les performances</w:t>
      </w:r>
    </w:p>
    <w:p>
      <w:pPr>
        <w:pStyle w:val="Heading3"/>
        <w:spacing w:after="100" w:before="240"/>
      </w:pPr>
      <w:r>
        <w:rPr>
          <w:b/>
          <w:bCs/>
          <w:color w:val="C55A11"/>
          <w:sz w:val="23"/>
          <w:szCs w:val="23"/>
        </w:rPr>
        <w:t xml:space="preserve">Ce que la question vous demande</w:t>
      </w:r>
    </w:p>
    <w:p>
      <w:pPr>
        <w:spacing w:after="140" w:before="0" w:line="276"/>
        <w:jc w:val="both"/>
      </w:pPr>
      <w:r>
        <w:rPr>
          <w:b w:val="false"/>
          <w:bCs w:val="false"/>
        </w:rPr>
        <w:t xml:space="preserve">L’énoncé comporte </w:t>
      </w:r>
      <w:r>
        <w:rPr>
          <w:b/>
          <w:bCs/>
        </w:rPr>
        <w:t xml:space="preserve">deux travaux distincts</w:t>
      </w:r>
      <w:r>
        <w:rPr>
          <w:b w:val="false"/>
          <w:bCs w:val="false"/>
        </w:rPr>
        <w:t xml:space="preserve">, et c’est le premier piège du sujet : « Complétez le tableau de bord [...] à l’aide d’indicateurs de votre choix, </w:t>
      </w:r>
      <w:r>
        <w:rPr>
          <w:b/>
          <w:bCs/>
        </w:rPr>
        <w:t xml:space="preserve">puis analysez</w:t>
      </w:r>
      <w:r>
        <w:rPr>
          <w:b w:val="false"/>
          <w:bCs w:val="false"/>
        </w:rPr>
        <w:t xml:space="preserve"> les performances de l’unité commerciale. »</w:t>
      </w:r>
    </w:p>
    <w:p>
      <w:pPr>
        <w:pStyle w:val="ListParagraph"/>
        <w:numPr>
          <w:ilvl w:val="0"/>
          <w:numId w:val="2"/>
        </w:numPr>
        <w:spacing w:after="80" w:line="276"/>
        <w:jc w:val="both"/>
      </w:pPr>
      <w:r>
        <w:rPr>
          <w:b/>
          <w:bCs/>
        </w:rPr>
        <w:t xml:space="preserve">Travail n° 1 (calculatoire)</w:t>
      </w:r>
      <w:r>
        <w:rPr>
          <w:b w:val="false"/>
          <w:bCs w:val="false"/>
        </w:rPr>
        <w:t xml:space="preserve"> : construire, à partir de l’annexe 1, un tableau de bord enrichi d’indicateurs calculés. L’expression « de votre choix » signifie que le sujet ne vous impose rien : c’est à vous de sélectionner des indicateurs </w:t>
      </w:r>
      <w:r>
        <w:rPr>
          <w:b/>
          <w:bCs/>
        </w:rPr>
        <w:t xml:space="preserve">pertinents par rapport au contexte</w:t>
      </w:r>
      <w:r>
        <w:rPr>
          <w:b w:val="false"/>
          <w:bCs w:val="false"/>
        </w:rPr>
        <w:t xml:space="preserve"> (baisse d’activité, concurrence, objectifs de marge fixés).</w:t>
      </w:r>
    </w:p>
    <w:p>
      <w:pPr>
        <w:pStyle w:val="ListParagraph"/>
        <w:numPr>
          <w:ilvl w:val="0"/>
          <w:numId w:val="2"/>
        </w:numPr>
        <w:spacing w:after="80" w:line="276"/>
        <w:jc w:val="both"/>
      </w:pPr>
      <w:r>
        <w:rPr>
          <w:b/>
          <w:bCs/>
        </w:rPr>
        <w:t xml:space="preserve">Travail n° 2 (rédactionnel)</w:t>
      </w:r>
      <w:r>
        <w:rPr>
          <w:b w:val="false"/>
          <w:bCs w:val="false"/>
        </w:rPr>
        <w:t xml:space="preserve"> : analyser les performances, c’est-à-dire commenter les résultats, univers par univers et au niveau global, en identifiant les points forts, les points faibles et les causes possibles.</w:t>
      </w:r>
    </w:p>
    <w:p>
      <w:pPr>
        <w:spacing w:after="140" w:before="0" w:line="276"/>
        <w:jc w:val="both"/>
      </w:pPr>
      <w:r>
        <w:rPr>
          <w:b w:val="false"/>
          <w:bCs w:val="false"/>
        </w:rPr>
        <w:t xml:space="preserve">Les informations à rechercher dans l’annexe 1 : les CA HT 2022 et 2023 par univers, les marges 2023 réalisées, les objectifs de marge 2023 et les taux de contribution au CA. Le contexte général (page 2 du sujet et chapeau du dossier) vous donne les clés d’interprétation : concurrence accrue et engouement pour les sports nautiques.</w:t>
      </w:r>
    </w:p>
    <w:p>
      <w:pPr>
        <w:spacing w:after="140" w:before="0" w:line="276"/>
        <w:jc w:val="both"/>
      </w:pPr>
      <w:r>
        <w:rPr>
          <w:b/>
          <w:bCs/>
        </w:rPr>
        <w:t xml:space="preserve">Forme attendue</w:t>
      </w:r>
      <w:r>
        <w:rPr>
          <w:b w:val="false"/>
          <w:bCs w:val="false"/>
        </w:rPr>
        <w:t xml:space="preserve"> : un tableau (lignes = univers de produits + total magasin ; colonnes = vos indicateurs) suivi d’une analyse rédigée et structurée (constat global, puis analyse par univers, puis conclusion). </w:t>
      </w:r>
      <w:r>
        <w:rPr>
          <w:b/>
          <w:bCs/>
        </w:rPr>
        <w:t xml:space="preserve">Difficulté principale</w:t>
      </w:r>
      <w:r>
        <w:rPr>
          <w:b w:val="false"/>
          <w:bCs w:val="false"/>
        </w:rPr>
        <w:t xml:space="preserve"> : ne pas se contenter de calculer, et choisir des indicateurs qui « racontent » quelque chose.</w:t>
      </w:r>
    </w:p>
    <w:p>
      <w:pPr>
        <w:pStyle w:val="Heading3"/>
        <w:spacing w:after="100" w:before="240"/>
      </w:pPr>
      <w:r>
        <w:rPr>
          <w:b/>
          <w:bCs/>
          <w:color w:val="C55A11"/>
          <w:sz w:val="23"/>
          <w:szCs w:val="23"/>
        </w:rPr>
        <w:t xml:space="preserve">Compétence et notion du référentiel mobilisées</w:t>
      </w:r>
    </w:p>
    <w:tbl>
      <w:tblPr>
        <w:tblW w:type="dxa" w:w="9350"/>
        <w:jc w:val="center"/>
        <w:tblBorders>
          <w:top w:val="single" w:color="auto" w:sz="4"/>
          <w:left w:val="single" w:color="auto" w:sz="4"/>
          <w:bottom w:val="single" w:color="auto" w:sz="4"/>
          <w:right w:val="single" w:color="auto" w:sz="4"/>
          <w:insideH w:val="single" w:color="auto" w:sz="4"/>
          <w:insideV w:val="single" w:color="auto" w:sz="4"/>
        </w:tblBorders>
      </w:tblPr>
      <w:tblGrid>
        <w:gridCol w:w="3100"/>
        <w:gridCol w:w="6250"/>
      </w:tblGrid>
      <w:tr>
        <w:trPr>
          <w:tblHeader/>
        </w:trPr>
        <w:tc>
          <w:tcPr>
            <w:tcW w:type="dxa" w:w="31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Élément du référentiel</w:t>
            </w:r>
          </w:p>
        </w:tc>
        <w:tc>
          <w:tcPr>
            <w:tcW w:type="dxa" w:w="62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Contenu</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Bloc de compétences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Bloc n° 3 « Assurer la gestion opérationnelle »</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Compétence évaluée</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Analyser les performances » : concevoir et analyser un tableau de bord, analyser la rentabilité de l’activité, proposer des mesures correctrices, rendre compte</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Savoirs associés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Les indicateurs de performance » (les principaux indicateurs du tableau de bord), « La rentabilité de l’activité », « Les coûts et les marges »</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Critères d’évaluation activés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Les tableaux de bord sont opérationnels », « Les données quantitatives sont judicieusement mobilisées », « Les mesures correctrices sont cohérentes »</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Lien avec le métier</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Domaine d’activités 3 du référentiel des activités professionnelles : « analyse des performances » et « mise en œuvre du reporting ». C’est le quotidien d’un manageur adjoint ou d’un chef de rayon qui rend compte à sa direction.</w:t>
            </w:r>
          </w:p>
        </w:tc>
      </w:tr>
    </w:tbl>
    <w:p>
      <w:pPr>
        <w:pStyle w:val="Heading3"/>
        <w:spacing w:after="100" w:before="240"/>
      </w:pPr>
      <w:r>
        <w:rPr>
          <w:b/>
          <w:bCs/>
          <w:color w:val="C55A11"/>
          <w:sz w:val="23"/>
          <w:szCs w:val="23"/>
        </w:rPr>
        <w:t xml:space="preserve">Rappel de cours</w:t>
      </w:r>
    </w:p>
    <w:p>
      <w:pPr>
        <w:spacing w:after="140" w:before="0" w:line="276"/>
        <w:jc w:val="both"/>
      </w:pPr>
      <w:r>
        <w:rPr>
          <w:b/>
          <w:bCs/>
        </w:rPr>
        <w:t xml:space="preserve">Le tableau de bord</w:t>
      </w:r>
      <w:r>
        <w:rPr>
          <w:b w:val="false"/>
          <w:bCs w:val="false"/>
        </w:rPr>
        <w:t xml:space="preserve"> est un document de synthèse qui regroupe un ensemble d’indicateurs pertinents, chiffrés et actualisés, permettant de mesurer la performance d’une unité commerciale, de la comparer à des objectifs ou à des périodes antérieures, et de déclencher des actions correctrices. Il répond à trois questions : où en sommes-nous ? Sommes-nous conformes aux objectifs ? Que devons-nous faire ?</w:t>
      </w:r>
    </w:p>
    <w:p>
      <w:pPr>
        <w:spacing w:after="140" w:before="0" w:line="276"/>
        <w:jc w:val="both"/>
      </w:pPr>
      <w:r>
        <w:rPr>
          <w:b/>
          <w:bCs/>
        </w:rPr>
        <w:t xml:space="preserve">Les indicateurs mobilisables ici</w:t>
      </w:r>
      <w:r>
        <w:rPr>
          <w:b w:val="false"/>
          <w:bCs w:val="false"/>
        </w:rPr>
        <w:t xml:space="preserve"> (avec leur signification) :</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Taux d’évolution du CA = (CA année N − CA année N−1) ÷ CA année N−1 × 100</w:t>
      </w:r>
    </w:p>
    <w:p>
      <w:pPr>
        <w:pStyle w:val="ListParagraph"/>
        <w:numPr>
          <w:ilvl w:val="0"/>
          <w:numId w:val="2"/>
        </w:numPr>
        <w:spacing w:after="80" w:line="276"/>
        <w:jc w:val="both"/>
      </w:pPr>
      <w:r>
        <w:rPr>
          <w:b w:val="false"/>
          <w:bCs w:val="false"/>
        </w:rPr>
        <w:t xml:space="preserve">Il mesure la </w:t>
      </w:r>
      <w:r>
        <w:rPr>
          <w:b/>
          <w:bCs/>
        </w:rPr>
        <w:t xml:space="preserve">dynamique de l’activité</w:t>
      </w:r>
      <w:r>
        <w:rPr>
          <w:b w:val="false"/>
          <w:bCs w:val="false"/>
        </w:rPr>
        <w:t xml:space="preserve">. Attention au piège classique : le dénominateur est toujours la </w:t>
      </w:r>
      <w:r>
        <w:rPr>
          <w:b/>
          <w:bCs/>
        </w:rPr>
        <w:t xml:space="preserve">valeur de départ</w:t>
      </w:r>
      <w:r>
        <w:rPr>
          <w:b w:val="false"/>
          <w:bCs w:val="false"/>
        </w:rPr>
        <w:t xml:space="preserve"> (2022), jamais la valeur d’arrivée. Un taux négatif signale une perte d’activité.</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Taux de marque = Marge commerciale ÷ CA HT × 100</w:t>
      </w:r>
    </w:p>
    <w:p>
      <w:pPr>
        <w:pStyle w:val="ListParagraph"/>
        <w:numPr>
          <w:ilvl w:val="0"/>
          <w:numId w:val="2"/>
        </w:numPr>
        <w:spacing w:after="80" w:line="276"/>
        <w:jc w:val="both"/>
      </w:pPr>
      <w:r>
        <w:rPr>
          <w:b w:val="false"/>
          <w:bCs w:val="false"/>
        </w:rPr>
        <w:t xml:space="preserve">Il exprime la part de marge contenue dans </w:t>
      </w:r>
      <w:r>
        <w:rPr>
          <w:b/>
          <w:bCs/>
        </w:rPr>
        <w:t xml:space="preserve">chaque euro de chiffre d’affaires HT</w:t>
      </w:r>
      <w:r>
        <w:rPr>
          <w:b w:val="false"/>
          <w:bCs w:val="false"/>
        </w:rPr>
        <w:t xml:space="preserve">. C’est l’indicateur de rentabilité commerciale privilégié de la distribution. Ne le confondez pas avec le </w:t>
      </w:r>
      <w:r>
        <w:rPr>
          <w:b/>
          <w:bCs/>
        </w:rPr>
        <w:t xml:space="preserve">taux de marge</w:t>
      </w:r>
      <w:r>
        <w:rPr>
          <w:b w:val="false"/>
          <w:bCs w:val="false"/>
        </w:rPr>
        <w:t xml:space="preserve"> (Marge ÷ Coût d’achat HT × 100), qui rapporte la même marge au coût d’achat : pour une même situation, le taux de marge est toujours supérieur au taux de marque.</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Taux de réalisation de l’objectif = Réalisé ÷ Objectif × 100    |    Écart = Réalisé − Objectif</w:t>
      </w:r>
    </w:p>
    <w:p>
      <w:pPr>
        <w:pStyle w:val="ListParagraph"/>
        <w:numPr>
          <w:ilvl w:val="0"/>
          <w:numId w:val="2"/>
        </w:numPr>
        <w:spacing w:after="80" w:line="276"/>
        <w:jc w:val="both"/>
      </w:pPr>
      <w:r>
        <w:rPr>
          <w:b w:val="false"/>
          <w:bCs w:val="false"/>
        </w:rPr>
        <w:t xml:space="preserve">Le taux de réalisation mesure le </w:t>
      </w:r>
      <w:r>
        <w:rPr>
          <w:b/>
          <w:bCs/>
        </w:rPr>
        <w:t xml:space="preserve">degré d’atteinte</w:t>
      </w:r>
      <w:r>
        <w:rPr>
          <w:b w:val="false"/>
          <w:bCs w:val="false"/>
        </w:rPr>
        <w:t xml:space="preserve"> d’un objectif (100 % = objectif atteint). L’écart en euros donne l’ampleur du manque à gagner. Les deux se complètent : le taux relativise, l’écart chiffre.</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Taux de contribution au CA (déjà fourni) = CA de l’univers ÷ CA total × 100</w:t>
      </w:r>
    </w:p>
    <w:p>
      <w:pPr>
        <w:pStyle w:val="ListParagraph"/>
        <w:numPr>
          <w:ilvl w:val="0"/>
          <w:numId w:val="2"/>
        </w:numPr>
        <w:spacing w:after="80" w:line="276"/>
        <w:jc w:val="both"/>
      </w:pPr>
      <w:r>
        <w:rPr>
          <w:b w:val="false"/>
          <w:bCs w:val="false"/>
        </w:rPr>
        <w:t xml:space="preserve">Il mesure le </w:t>
      </w:r>
      <w:r>
        <w:rPr>
          <w:b/>
          <w:bCs/>
        </w:rPr>
        <w:t xml:space="preserve">poids de chaque univers</w:t>
      </w:r>
      <w:r>
        <w:rPr>
          <w:b w:val="false"/>
          <w:bCs w:val="false"/>
        </w:rPr>
        <w:t xml:space="preserve"> dans l’activité. Son évolution d’une année sur l’autre (en points de pourcentage) révèle les déplacements du mix d’activité. Ici, il est déjà calculé dans l’annexe : vous pouvez donc exploiter son évolution sans refaire le calcul.</w:t>
      </w:r>
    </w:p>
    <w:p>
      <w:pPr>
        <w:spacing w:after="140" w:before="0" w:line="276"/>
        <w:jc w:val="both"/>
      </w:pPr>
      <w:r>
        <w:rPr>
          <w:b/>
          <w:bCs/>
        </w:rPr>
        <w:t xml:space="preserve">Vocabulaire à maîtriser</w:t>
      </w:r>
      <w:r>
        <w:rPr>
          <w:b w:val="false"/>
          <w:bCs w:val="false"/>
        </w:rPr>
        <w:t xml:space="preserve"> : la marge commerciale (CA HT − Coût d’achat HT des marchandises vendues) est une valeur en euros ; les taux sont des valeurs relatives en pourcentage. Une variation de taux de contribution s’exprime en </w:t>
      </w:r>
      <w:r>
        <w:rPr>
          <w:b/>
          <w:bCs/>
        </w:rPr>
        <w:t xml:space="preserve">points</w:t>
      </w:r>
      <w:r>
        <w:rPr>
          <w:b w:val="false"/>
          <w:bCs w:val="false"/>
        </w:rPr>
        <w:t xml:space="preserve"> (58,28 % − 55 % = +3,28 points), pas en pourcentage.</w:t>
      </w:r>
    </w:p>
    <w:p>
      <w:pPr>
        <w:pStyle w:val="Heading3"/>
        <w:spacing w:after="100" w:before="240"/>
      </w:pPr>
      <w:r>
        <w:rPr>
          <w:b/>
          <w:bCs/>
          <w:color w:val="C55A11"/>
          <w:sz w:val="23"/>
          <w:szCs w:val="23"/>
        </w:rPr>
        <w:t xml:space="preserve">Méthode à appliquer</w:t>
      </w:r>
    </w:p>
    <w:p>
      <w:pPr>
        <w:pStyle w:val="ListParagraph"/>
        <w:numPr>
          <w:ilvl w:val="0"/>
          <w:numId w:val="2"/>
        </w:numPr>
        <w:spacing w:after="80" w:line="276"/>
        <w:jc w:val="both"/>
      </w:pPr>
      <w:r>
        <w:rPr>
          <w:b/>
          <w:bCs/>
        </w:rPr>
        <w:t xml:space="preserve">Étape 1 – Identifier les données utiles</w:t>
      </w:r>
      <w:r>
        <w:rPr>
          <w:b w:val="false"/>
          <w:bCs w:val="false"/>
        </w:rPr>
        <w:t xml:space="preserve"> : dans l’annexe 1, repérez les couples de colonnes qui « appellent » un indicateur : CA 2022 / CA 2023 → taux d’évolution ; Marge 2023 / CA 2023 → taux de marque ; Marge 2023 / Objectif 2023 → taux de réalisation et écart ; Contribution 2022 / 2023 → variation en points.</w:t>
      </w:r>
    </w:p>
    <w:p>
      <w:pPr>
        <w:pStyle w:val="ListParagraph"/>
        <w:numPr>
          <w:ilvl w:val="0"/>
          <w:numId w:val="2"/>
        </w:numPr>
        <w:spacing w:after="80" w:line="276"/>
        <w:jc w:val="both"/>
      </w:pPr>
      <w:r>
        <w:rPr>
          <w:b/>
          <w:bCs/>
        </w:rPr>
        <w:t xml:space="preserve">Étape 2 – Choisir 3 à 4 indicateurs</w:t>
      </w:r>
      <w:r>
        <w:rPr>
          <w:b w:val="false"/>
          <w:bCs w:val="false"/>
        </w:rPr>
        <w:t xml:space="preserve"> : inutile d’en calculer dix. Le correcteur attend des indicateurs variés (activité, rentabilité, atteinte des objectifs) et adaptés au contexte.</w:t>
      </w:r>
    </w:p>
    <w:p>
      <w:pPr>
        <w:pStyle w:val="ListParagraph"/>
        <w:numPr>
          <w:ilvl w:val="0"/>
          <w:numId w:val="2"/>
        </w:numPr>
        <w:spacing w:after="80" w:line="276"/>
        <w:jc w:val="both"/>
      </w:pPr>
      <w:r>
        <w:rPr>
          <w:b/>
          <w:bCs/>
        </w:rPr>
        <w:t xml:space="preserve">Étape 3 – Calculer ligne par ligne</w:t>
      </w:r>
      <w:r>
        <w:rPr>
          <w:b w:val="false"/>
          <w:bCs w:val="false"/>
        </w:rPr>
        <w:t xml:space="preserve">, y compris le total magasin, en arrondissant à deux décimales et en indiquant les unités (% ou €).</w:t>
      </w:r>
    </w:p>
    <w:p>
      <w:pPr>
        <w:pStyle w:val="ListParagraph"/>
        <w:numPr>
          <w:ilvl w:val="0"/>
          <w:numId w:val="2"/>
        </w:numPr>
        <w:spacing w:after="80" w:line="276"/>
        <w:jc w:val="both"/>
      </w:pPr>
      <w:r>
        <w:rPr>
          <w:b/>
          <w:bCs/>
        </w:rPr>
        <w:t xml:space="preserve">Étape 4 – Vérifier la cohérence</w:t>
      </w:r>
      <w:r>
        <w:rPr>
          <w:b w:val="false"/>
          <w:bCs w:val="false"/>
        </w:rPr>
        <w:t xml:space="preserve"> : le taux d’évolution du total doit être compris entre le meilleur et le pire des univers ; la somme des écarts de marge par univers doit redonner l’écart total (−33 253 €).</w:t>
      </w:r>
    </w:p>
    <w:p>
      <w:pPr>
        <w:pStyle w:val="ListParagraph"/>
        <w:numPr>
          <w:ilvl w:val="0"/>
          <w:numId w:val="2"/>
        </w:numPr>
        <w:spacing w:after="80" w:line="276"/>
        <w:jc w:val="both"/>
      </w:pPr>
      <w:r>
        <w:rPr>
          <w:b/>
          <w:bCs/>
        </w:rPr>
        <w:t xml:space="preserve">Étape 5 – Analyser</w:t>
      </w:r>
      <w:r>
        <w:rPr>
          <w:b w:val="false"/>
          <w:bCs w:val="false"/>
        </w:rPr>
        <w:t xml:space="preserve"> : partez du global (le magasin), descendez au particulier (les univers), reliez chaque constat au contexte (concurrence, engouement nautique), et terminez par une mini-conclusion managériale.</w:t>
      </w:r>
    </w:p>
    <w:p>
      <w:pPr>
        <w:pBdr>
          <w:left w:val="single" w:color="C55A11" w:sz="16"/>
        </w:pBdr>
        <w:shd w:fill="FBF2E4" w:val="clear"/>
        <w:spacing w:after="140" w:before="100" w:line="276"/>
        <w:ind w:left="240" w:right="240"/>
        <w:jc w:val="both"/>
      </w:pPr>
      <w:r>
        <w:rPr>
          <w:b w:val="false"/>
          <w:bCs w:val="false"/>
          <w:i/>
          <w:iCs/>
          <w:color w:val="3B3B3B"/>
        </w:rPr>
        <w:t xml:space="preserve">La méthode la plus efficace à l’examen consiste à présenter un seul tableau reprenant l’annexe 1 complétée de vos colonnes d’indicateurs, avec une ligne de calcul type au-dessous (exemple : taux d’évolution Sports nautiques = (625 940 − 610 500) ÷ 610 500 = +2,53 %). Vous montrez ainsi la formule une fois, sans recopier dix calculs, et vous gagnez un temps précieux.</w:t>
      </w:r>
    </w:p>
    <w:p>
      <w:pPr>
        <w:pStyle w:val="Heading3"/>
        <w:spacing w:after="100" w:before="240"/>
      </w:pPr>
      <w:r>
        <w:rPr>
          <w:b/>
          <w:bCs/>
          <w:color w:val="C55A11"/>
          <w:sz w:val="23"/>
          <w:szCs w:val="23"/>
        </w:rPr>
        <w:t xml:space="preserve">Correction détaillée – le tableau de bord complété</w:t>
      </w:r>
    </w:p>
    <w:tbl>
      <w:tblPr>
        <w:tblW w:type="dxa" w:w="10350"/>
        <w:jc w:val="center"/>
        <w:tblBorders>
          <w:top w:val="single" w:color="auto" w:sz="4"/>
          <w:left w:val="single" w:color="auto" w:sz="4"/>
          <w:bottom w:val="single" w:color="auto" w:sz="4"/>
          <w:right w:val="single" w:color="auto" w:sz="4"/>
          <w:insideH w:val="single" w:color="auto" w:sz="4"/>
          <w:insideV w:val="single" w:color="auto" w:sz="4"/>
        </w:tblBorders>
      </w:tblPr>
      <w:tblGrid>
        <w:gridCol w:w="1450"/>
        <w:gridCol w:w="1000"/>
        <w:gridCol w:w="1000"/>
        <w:gridCol w:w="950"/>
        <w:gridCol w:w="950"/>
        <w:gridCol w:w="950"/>
        <w:gridCol w:w="950"/>
        <w:gridCol w:w="1000"/>
        <w:gridCol w:w="950"/>
        <w:gridCol w:w="1150"/>
      </w:tblGrid>
      <w:tr>
        <w:trPr>
          <w:tblHeader/>
        </w:trPr>
        <w:tc>
          <w:tcPr>
            <w:tcW w:type="dxa" w:w="14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Univers</w:t>
            </w:r>
          </w:p>
        </w:tc>
        <w:tc>
          <w:tcPr>
            <w:tcW w:type="dxa" w:w="10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CA HT 2022 (€)</w:t>
            </w:r>
          </w:p>
        </w:tc>
        <w:tc>
          <w:tcPr>
            <w:tcW w:type="dxa" w:w="10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CA HT 2023 (€)</w:t>
            </w:r>
          </w:p>
        </w:tc>
        <w:tc>
          <w:tcPr>
            <w:tcW w:type="dxa" w:w="9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Évolution CA (%)</w:t>
            </w:r>
          </w:p>
        </w:tc>
        <w:tc>
          <w:tcPr>
            <w:tcW w:type="dxa" w:w="9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Marge 2023 (€)</w:t>
            </w:r>
          </w:p>
        </w:tc>
        <w:tc>
          <w:tcPr>
            <w:tcW w:type="dxa" w:w="9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Taux de marque (%)</w:t>
            </w:r>
          </w:p>
        </w:tc>
        <w:tc>
          <w:tcPr>
            <w:tcW w:type="dxa" w:w="9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Objectif marge (€)</w:t>
            </w:r>
          </w:p>
        </w:tc>
        <w:tc>
          <w:tcPr>
            <w:tcW w:type="dxa" w:w="10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Réalisation objectif (%)</w:t>
            </w:r>
          </w:p>
        </w:tc>
        <w:tc>
          <w:tcPr>
            <w:tcW w:type="dxa" w:w="9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Écart / objectif (€)</w:t>
            </w:r>
          </w:p>
        </w:tc>
        <w:tc>
          <w:tcPr>
            <w:tcW w:type="dxa" w:w="11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Contribution : évolution (points)</w:t>
            </w:r>
          </w:p>
        </w:tc>
      </w:tr>
      <w:tr>
        <w:tc>
          <w:tcPr>
            <w:tcW w:type="dxa" w:w="1450"/>
            <w:tcMar>
              <w:top w:type="dxa" w:w="60"/>
              <w:left w:type="dxa" w:w="100"/>
              <w:bottom w:type="dxa" w:w="60"/>
              <w:right w:type="dxa" w:w="100"/>
            </w:tcMar>
            <w:vAlign w:val="center"/>
          </w:tcPr>
          <w:p>
            <w:pPr>
              <w:spacing w:after="0"/>
              <w:jc w:val="center"/>
            </w:pPr>
            <w:r>
              <w:rPr>
                <w:b w:val="false"/>
                <w:bCs w:val="false"/>
                <w:sz w:val="19"/>
                <w:szCs w:val="19"/>
              </w:rPr>
              <w:t xml:space="preserve">Sports nautiques</w:t>
            </w:r>
          </w:p>
        </w:tc>
        <w:tc>
          <w:tcPr>
            <w:tcW w:type="dxa" w:w="1000"/>
            <w:tcMar>
              <w:top w:type="dxa" w:w="60"/>
              <w:left w:type="dxa" w:w="100"/>
              <w:bottom w:type="dxa" w:w="60"/>
              <w:right w:type="dxa" w:w="100"/>
            </w:tcMar>
            <w:vAlign w:val="center"/>
          </w:tcPr>
          <w:p>
            <w:pPr>
              <w:spacing w:after="0"/>
              <w:jc w:val="center"/>
            </w:pPr>
            <w:r>
              <w:rPr>
                <w:b w:val="false"/>
                <w:bCs w:val="false"/>
                <w:sz w:val="19"/>
                <w:szCs w:val="19"/>
              </w:rPr>
              <w:t xml:space="preserve">610 500</w:t>
            </w:r>
          </w:p>
        </w:tc>
        <w:tc>
          <w:tcPr>
            <w:tcW w:type="dxa" w:w="1000"/>
            <w:tcMar>
              <w:top w:type="dxa" w:w="60"/>
              <w:left w:type="dxa" w:w="100"/>
              <w:bottom w:type="dxa" w:w="60"/>
              <w:right w:type="dxa" w:w="100"/>
            </w:tcMar>
            <w:vAlign w:val="center"/>
          </w:tcPr>
          <w:p>
            <w:pPr>
              <w:spacing w:after="0"/>
              <w:jc w:val="center"/>
            </w:pPr>
            <w:r>
              <w:rPr>
                <w:b w:val="false"/>
                <w:bCs w:val="false"/>
                <w:sz w:val="19"/>
                <w:szCs w:val="19"/>
              </w:rPr>
              <w:t xml:space="preserve">625 940</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+2,53</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200 226</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31,99</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210 000</w:t>
            </w:r>
          </w:p>
        </w:tc>
        <w:tc>
          <w:tcPr>
            <w:tcW w:type="dxa" w:w="1000"/>
            <w:tcMar>
              <w:top w:type="dxa" w:w="60"/>
              <w:left w:type="dxa" w:w="100"/>
              <w:bottom w:type="dxa" w:w="60"/>
              <w:right w:type="dxa" w:w="100"/>
            </w:tcMar>
            <w:vAlign w:val="center"/>
          </w:tcPr>
          <w:p>
            <w:pPr>
              <w:spacing w:after="0"/>
              <w:jc w:val="center"/>
            </w:pPr>
            <w:r>
              <w:rPr>
                <w:b w:val="false"/>
                <w:bCs w:val="false"/>
                <w:sz w:val="19"/>
                <w:szCs w:val="19"/>
              </w:rPr>
              <w:t xml:space="preserve">95,35</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− 9 774</w:t>
            </w:r>
          </w:p>
        </w:tc>
        <w:tc>
          <w:tcPr>
            <w:tcW w:type="dxa" w:w="1150"/>
            <w:tcMar>
              <w:top w:type="dxa" w:w="60"/>
              <w:left w:type="dxa" w:w="100"/>
              <w:bottom w:type="dxa" w:w="60"/>
              <w:right w:type="dxa" w:w="100"/>
            </w:tcMar>
            <w:vAlign w:val="center"/>
          </w:tcPr>
          <w:p>
            <w:pPr>
              <w:spacing w:after="0"/>
              <w:jc w:val="center"/>
            </w:pPr>
            <w:r>
              <w:rPr>
                <w:b w:val="false"/>
                <w:bCs w:val="false"/>
                <w:sz w:val="19"/>
                <w:szCs w:val="19"/>
              </w:rPr>
              <w:t xml:space="preserve">+3,28</w:t>
            </w:r>
          </w:p>
        </w:tc>
      </w:tr>
      <w:tr>
        <w:tc>
          <w:tcPr>
            <w:tcW w:type="dxa" w:w="1450"/>
            <w:tcMar>
              <w:top w:type="dxa" w:w="60"/>
              <w:left w:type="dxa" w:w="100"/>
              <w:bottom w:type="dxa" w:w="60"/>
              <w:right w:type="dxa" w:w="100"/>
            </w:tcMar>
            <w:vAlign w:val="center"/>
          </w:tcPr>
          <w:p>
            <w:pPr>
              <w:spacing w:after="0"/>
              <w:jc w:val="center"/>
            </w:pPr>
            <w:r>
              <w:rPr>
                <w:b w:val="false"/>
                <w:bCs w:val="false"/>
                <w:sz w:val="19"/>
                <w:szCs w:val="19"/>
              </w:rPr>
              <w:t xml:space="preserve">Glisse urbaine</w:t>
            </w:r>
          </w:p>
        </w:tc>
        <w:tc>
          <w:tcPr>
            <w:tcW w:type="dxa" w:w="1000"/>
            <w:tcMar>
              <w:top w:type="dxa" w:w="60"/>
              <w:left w:type="dxa" w:w="100"/>
              <w:bottom w:type="dxa" w:w="60"/>
              <w:right w:type="dxa" w:w="100"/>
            </w:tcMar>
            <w:vAlign w:val="center"/>
          </w:tcPr>
          <w:p>
            <w:pPr>
              <w:spacing w:after="0"/>
              <w:jc w:val="center"/>
            </w:pPr>
            <w:r>
              <w:rPr>
                <w:b w:val="false"/>
                <w:bCs w:val="false"/>
                <w:sz w:val="19"/>
                <w:szCs w:val="19"/>
              </w:rPr>
              <w:t xml:space="preserve">177 600</w:t>
            </w:r>
          </w:p>
        </w:tc>
        <w:tc>
          <w:tcPr>
            <w:tcW w:type="dxa" w:w="1000"/>
            <w:tcMar>
              <w:top w:type="dxa" w:w="60"/>
              <w:left w:type="dxa" w:w="100"/>
              <w:bottom w:type="dxa" w:w="60"/>
              <w:right w:type="dxa" w:w="100"/>
            </w:tcMar>
            <w:vAlign w:val="center"/>
          </w:tcPr>
          <w:p>
            <w:pPr>
              <w:spacing w:after="0"/>
              <w:jc w:val="center"/>
            </w:pPr>
            <w:r>
              <w:rPr>
                <w:b w:val="false"/>
                <w:bCs w:val="false"/>
                <w:sz w:val="19"/>
                <w:szCs w:val="19"/>
              </w:rPr>
              <w:t xml:space="preserve">156 800</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−11,71</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43 903</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28,00</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55 000</w:t>
            </w:r>
          </w:p>
        </w:tc>
        <w:tc>
          <w:tcPr>
            <w:tcW w:type="dxa" w:w="1000"/>
            <w:tcMar>
              <w:top w:type="dxa" w:w="60"/>
              <w:left w:type="dxa" w:w="100"/>
              <w:bottom w:type="dxa" w:w="60"/>
              <w:right w:type="dxa" w:w="100"/>
            </w:tcMar>
            <w:vAlign w:val="center"/>
          </w:tcPr>
          <w:p>
            <w:pPr>
              <w:spacing w:after="0"/>
              <w:jc w:val="center"/>
            </w:pPr>
            <w:r>
              <w:rPr>
                <w:b w:val="false"/>
                <w:bCs w:val="false"/>
                <w:sz w:val="19"/>
                <w:szCs w:val="19"/>
              </w:rPr>
              <w:t xml:space="preserve">79,82</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−11 097</w:t>
            </w:r>
          </w:p>
        </w:tc>
        <w:tc>
          <w:tcPr>
            <w:tcW w:type="dxa" w:w="1150"/>
            <w:tcMar>
              <w:top w:type="dxa" w:w="60"/>
              <w:left w:type="dxa" w:w="100"/>
              <w:bottom w:type="dxa" w:w="60"/>
              <w:right w:type="dxa" w:w="100"/>
            </w:tcMar>
            <w:vAlign w:val="center"/>
          </w:tcPr>
          <w:p>
            <w:pPr>
              <w:spacing w:after="0"/>
              <w:jc w:val="center"/>
            </w:pPr>
            <w:r>
              <w:rPr>
                <w:b w:val="false"/>
                <w:bCs w:val="false"/>
                <w:sz w:val="19"/>
                <w:szCs w:val="19"/>
              </w:rPr>
              <w:t xml:space="preserve">−1,40</w:t>
            </w:r>
          </w:p>
        </w:tc>
      </w:tr>
      <w:tr>
        <w:tc>
          <w:tcPr>
            <w:tcW w:type="dxa" w:w="1450"/>
            <w:tcMar>
              <w:top w:type="dxa" w:w="60"/>
              <w:left w:type="dxa" w:w="100"/>
              <w:bottom w:type="dxa" w:w="60"/>
              <w:right w:type="dxa" w:w="100"/>
            </w:tcMar>
            <w:vAlign w:val="center"/>
          </w:tcPr>
          <w:p>
            <w:pPr>
              <w:spacing w:after="0"/>
              <w:jc w:val="center"/>
            </w:pPr>
            <w:r>
              <w:rPr>
                <w:b w:val="false"/>
                <w:bCs w:val="false"/>
                <w:sz w:val="19"/>
                <w:szCs w:val="19"/>
              </w:rPr>
              <w:t xml:space="preserve">Sports d’hiver</w:t>
            </w:r>
          </w:p>
        </w:tc>
        <w:tc>
          <w:tcPr>
            <w:tcW w:type="dxa" w:w="1000"/>
            <w:tcMar>
              <w:top w:type="dxa" w:w="60"/>
              <w:left w:type="dxa" w:w="100"/>
              <w:bottom w:type="dxa" w:w="60"/>
              <w:right w:type="dxa" w:w="100"/>
            </w:tcMar>
            <w:vAlign w:val="center"/>
          </w:tcPr>
          <w:p>
            <w:pPr>
              <w:spacing w:after="0"/>
              <w:jc w:val="center"/>
            </w:pPr>
            <w:r>
              <w:rPr>
                <w:b w:val="false"/>
                <w:bCs w:val="false"/>
                <w:sz w:val="19"/>
                <w:szCs w:val="19"/>
              </w:rPr>
              <w:t xml:space="preserve">99 900</w:t>
            </w:r>
          </w:p>
        </w:tc>
        <w:tc>
          <w:tcPr>
            <w:tcW w:type="dxa" w:w="1000"/>
            <w:tcMar>
              <w:top w:type="dxa" w:w="60"/>
              <w:left w:type="dxa" w:w="100"/>
              <w:bottom w:type="dxa" w:w="60"/>
              <w:right w:type="dxa" w:w="100"/>
            </w:tcMar>
            <w:vAlign w:val="center"/>
          </w:tcPr>
          <w:p>
            <w:pPr>
              <w:spacing w:after="0"/>
              <w:jc w:val="center"/>
            </w:pPr>
            <w:r>
              <w:rPr>
                <w:b w:val="false"/>
                <w:bCs w:val="false"/>
                <w:sz w:val="19"/>
                <w:szCs w:val="19"/>
              </w:rPr>
              <w:t xml:space="preserve">78 400</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−21,52</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23 584</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30,08</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35 000</w:t>
            </w:r>
          </w:p>
        </w:tc>
        <w:tc>
          <w:tcPr>
            <w:tcW w:type="dxa" w:w="1000"/>
            <w:tcMar>
              <w:top w:type="dxa" w:w="60"/>
              <w:left w:type="dxa" w:w="100"/>
              <w:bottom w:type="dxa" w:w="60"/>
              <w:right w:type="dxa" w:w="100"/>
            </w:tcMar>
            <w:vAlign w:val="center"/>
          </w:tcPr>
          <w:p>
            <w:pPr>
              <w:spacing w:after="0"/>
              <w:jc w:val="center"/>
            </w:pPr>
            <w:r>
              <w:rPr>
                <w:b w:val="false"/>
                <w:bCs w:val="false"/>
                <w:sz w:val="19"/>
                <w:szCs w:val="19"/>
              </w:rPr>
              <w:t xml:space="preserve">67,38</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−11 416</w:t>
            </w:r>
          </w:p>
        </w:tc>
        <w:tc>
          <w:tcPr>
            <w:tcW w:type="dxa" w:w="1150"/>
            <w:tcMar>
              <w:top w:type="dxa" w:w="60"/>
              <w:left w:type="dxa" w:w="100"/>
              <w:bottom w:type="dxa" w:w="60"/>
              <w:right w:type="dxa" w:w="100"/>
            </w:tcMar>
            <w:vAlign w:val="center"/>
          </w:tcPr>
          <w:p>
            <w:pPr>
              <w:spacing w:after="0"/>
              <w:jc w:val="center"/>
            </w:pPr>
            <w:r>
              <w:rPr>
                <w:b w:val="false"/>
                <w:bCs w:val="false"/>
                <w:sz w:val="19"/>
                <w:szCs w:val="19"/>
              </w:rPr>
              <w:t xml:space="preserve">−1,70</w:t>
            </w:r>
          </w:p>
        </w:tc>
      </w:tr>
      <w:tr>
        <w:tc>
          <w:tcPr>
            <w:tcW w:type="dxa" w:w="1450"/>
            <w:tcMar>
              <w:top w:type="dxa" w:w="60"/>
              <w:left w:type="dxa" w:w="100"/>
              <w:bottom w:type="dxa" w:w="60"/>
              <w:right w:type="dxa" w:w="100"/>
            </w:tcMar>
            <w:vAlign w:val="center"/>
          </w:tcPr>
          <w:p>
            <w:pPr>
              <w:spacing w:after="0"/>
              <w:jc w:val="center"/>
            </w:pPr>
            <w:r>
              <w:rPr>
                <w:b w:val="false"/>
                <w:bCs w:val="false"/>
                <w:sz w:val="19"/>
                <w:szCs w:val="19"/>
              </w:rPr>
              <w:t xml:space="preserve">Vêtements et accessoires</w:t>
            </w:r>
          </w:p>
        </w:tc>
        <w:tc>
          <w:tcPr>
            <w:tcW w:type="dxa" w:w="1000"/>
            <w:tcMar>
              <w:top w:type="dxa" w:w="60"/>
              <w:left w:type="dxa" w:w="100"/>
              <w:bottom w:type="dxa" w:w="60"/>
              <w:right w:type="dxa" w:w="100"/>
            </w:tcMar>
            <w:vAlign w:val="center"/>
          </w:tcPr>
          <w:p>
            <w:pPr>
              <w:spacing w:after="0"/>
              <w:jc w:val="center"/>
            </w:pPr>
            <w:r>
              <w:rPr>
                <w:b w:val="false"/>
                <w:bCs w:val="false"/>
                <w:sz w:val="19"/>
                <w:szCs w:val="19"/>
              </w:rPr>
              <w:t xml:space="preserve">222 000</w:t>
            </w:r>
          </w:p>
        </w:tc>
        <w:tc>
          <w:tcPr>
            <w:tcW w:type="dxa" w:w="1000"/>
            <w:tcMar>
              <w:top w:type="dxa" w:w="60"/>
              <w:left w:type="dxa" w:w="100"/>
              <w:bottom w:type="dxa" w:w="60"/>
              <w:right w:type="dxa" w:w="100"/>
            </w:tcMar>
            <w:vAlign w:val="center"/>
          </w:tcPr>
          <w:p>
            <w:pPr>
              <w:spacing w:after="0"/>
              <w:jc w:val="center"/>
            </w:pPr>
            <w:r>
              <w:rPr>
                <w:b w:val="false"/>
                <w:bCs w:val="false"/>
                <w:sz w:val="19"/>
                <w:szCs w:val="19"/>
              </w:rPr>
              <w:t xml:space="preserve">212 800</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−4,14</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51 034</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23,98</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52 000</w:t>
            </w:r>
          </w:p>
        </w:tc>
        <w:tc>
          <w:tcPr>
            <w:tcW w:type="dxa" w:w="1000"/>
            <w:tcMar>
              <w:top w:type="dxa" w:w="60"/>
              <w:left w:type="dxa" w:w="100"/>
              <w:bottom w:type="dxa" w:w="60"/>
              <w:right w:type="dxa" w:w="100"/>
            </w:tcMar>
            <w:vAlign w:val="center"/>
          </w:tcPr>
          <w:p>
            <w:pPr>
              <w:spacing w:after="0"/>
              <w:jc w:val="center"/>
            </w:pPr>
            <w:r>
              <w:rPr>
                <w:b w:val="false"/>
                <w:bCs w:val="false"/>
                <w:sz w:val="19"/>
                <w:szCs w:val="19"/>
              </w:rPr>
              <w:t xml:space="preserve">98,14</w:t>
            </w:r>
          </w:p>
        </w:tc>
        <w:tc>
          <w:tcPr>
            <w:tcW w:type="dxa" w:w="950"/>
            <w:tcMar>
              <w:top w:type="dxa" w:w="60"/>
              <w:left w:type="dxa" w:w="100"/>
              <w:bottom w:type="dxa" w:w="60"/>
              <w:right w:type="dxa" w:w="100"/>
            </w:tcMar>
            <w:vAlign w:val="center"/>
          </w:tcPr>
          <w:p>
            <w:pPr>
              <w:spacing w:after="0"/>
              <w:jc w:val="center"/>
            </w:pPr>
            <w:r>
              <w:rPr>
                <w:b w:val="false"/>
                <w:bCs w:val="false"/>
                <w:sz w:val="19"/>
                <w:szCs w:val="19"/>
              </w:rPr>
              <w:t xml:space="preserve">− 966</w:t>
            </w:r>
          </w:p>
        </w:tc>
        <w:tc>
          <w:tcPr>
            <w:tcW w:type="dxa" w:w="1150"/>
            <w:tcMar>
              <w:top w:type="dxa" w:w="60"/>
              <w:left w:type="dxa" w:w="100"/>
              <w:bottom w:type="dxa" w:w="60"/>
              <w:right w:type="dxa" w:w="100"/>
            </w:tcMar>
            <w:vAlign w:val="center"/>
          </w:tcPr>
          <w:p>
            <w:pPr>
              <w:spacing w:after="0"/>
              <w:jc w:val="center"/>
            </w:pPr>
            <w:r>
              <w:rPr>
                <w:b w:val="false"/>
                <w:bCs w:val="false"/>
                <w:sz w:val="19"/>
                <w:szCs w:val="19"/>
              </w:rPr>
              <w:t xml:space="preserve">−0,18</w:t>
            </w:r>
          </w:p>
        </w:tc>
      </w:tr>
      <w:tr>
        <w:tc>
          <w:tcPr>
            <w:tcW w:type="dxa" w:w="1450"/>
            <w:shd w:fill="DCE6F1" w:val="clear"/>
            <w:tcMar>
              <w:top w:type="dxa" w:w="60"/>
              <w:left w:type="dxa" w:w="100"/>
              <w:bottom w:type="dxa" w:w="60"/>
              <w:right w:type="dxa" w:w="100"/>
            </w:tcMar>
            <w:vAlign w:val="center"/>
          </w:tcPr>
          <w:p>
            <w:pPr>
              <w:spacing w:after="0"/>
              <w:jc w:val="center"/>
            </w:pPr>
            <w:r>
              <w:rPr>
                <w:b/>
                <w:bCs/>
                <w:sz w:val="19"/>
                <w:szCs w:val="19"/>
              </w:rPr>
              <w:t xml:space="preserve">Total magasin</w:t>
            </w:r>
          </w:p>
        </w:tc>
        <w:tc>
          <w:tcPr>
            <w:tcW w:type="dxa" w:w="1000"/>
            <w:shd w:fill="DCE6F1" w:val="clear"/>
            <w:tcMar>
              <w:top w:type="dxa" w:w="60"/>
              <w:left w:type="dxa" w:w="100"/>
              <w:bottom w:type="dxa" w:w="60"/>
              <w:right w:type="dxa" w:w="100"/>
            </w:tcMar>
            <w:vAlign w:val="center"/>
          </w:tcPr>
          <w:p>
            <w:pPr>
              <w:spacing w:after="0"/>
              <w:jc w:val="center"/>
            </w:pPr>
            <w:r>
              <w:rPr>
                <w:b/>
                <w:bCs/>
                <w:sz w:val="19"/>
                <w:szCs w:val="19"/>
              </w:rPr>
              <w:t xml:space="preserve">1 110 000</w:t>
            </w:r>
          </w:p>
        </w:tc>
        <w:tc>
          <w:tcPr>
            <w:tcW w:type="dxa" w:w="1000"/>
            <w:shd w:fill="DCE6F1" w:val="clear"/>
            <w:tcMar>
              <w:top w:type="dxa" w:w="60"/>
              <w:left w:type="dxa" w:w="100"/>
              <w:bottom w:type="dxa" w:w="60"/>
              <w:right w:type="dxa" w:w="100"/>
            </w:tcMar>
            <w:vAlign w:val="center"/>
          </w:tcPr>
          <w:p>
            <w:pPr>
              <w:spacing w:after="0"/>
              <w:jc w:val="center"/>
            </w:pPr>
            <w:r>
              <w:rPr>
                <w:b/>
                <w:bCs/>
                <w:sz w:val="19"/>
                <w:szCs w:val="19"/>
              </w:rPr>
              <w:t xml:space="preserve">1 073 940</w:t>
            </w:r>
          </w:p>
        </w:tc>
        <w:tc>
          <w:tcPr>
            <w:tcW w:type="dxa" w:w="950"/>
            <w:shd w:fill="DCE6F1" w:val="clear"/>
            <w:tcMar>
              <w:top w:type="dxa" w:w="60"/>
              <w:left w:type="dxa" w:w="100"/>
              <w:bottom w:type="dxa" w:w="60"/>
              <w:right w:type="dxa" w:w="100"/>
            </w:tcMar>
            <w:vAlign w:val="center"/>
          </w:tcPr>
          <w:p>
            <w:pPr>
              <w:spacing w:after="0"/>
              <w:jc w:val="center"/>
            </w:pPr>
            <w:r>
              <w:rPr>
                <w:b/>
                <w:bCs/>
                <w:sz w:val="19"/>
                <w:szCs w:val="19"/>
              </w:rPr>
              <w:t xml:space="preserve">−3,25</w:t>
            </w:r>
          </w:p>
        </w:tc>
        <w:tc>
          <w:tcPr>
            <w:tcW w:type="dxa" w:w="950"/>
            <w:shd w:fill="DCE6F1" w:val="clear"/>
            <w:tcMar>
              <w:top w:type="dxa" w:w="60"/>
              <w:left w:type="dxa" w:w="100"/>
              <w:bottom w:type="dxa" w:w="60"/>
              <w:right w:type="dxa" w:w="100"/>
            </w:tcMar>
            <w:vAlign w:val="center"/>
          </w:tcPr>
          <w:p>
            <w:pPr>
              <w:spacing w:after="0"/>
              <w:jc w:val="center"/>
            </w:pPr>
            <w:r>
              <w:rPr>
                <w:b/>
                <w:bCs/>
                <w:sz w:val="19"/>
                <w:szCs w:val="19"/>
              </w:rPr>
              <w:t xml:space="preserve">318 747</w:t>
            </w:r>
          </w:p>
        </w:tc>
        <w:tc>
          <w:tcPr>
            <w:tcW w:type="dxa" w:w="950"/>
            <w:shd w:fill="DCE6F1" w:val="clear"/>
            <w:tcMar>
              <w:top w:type="dxa" w:w="60"/>
              <w:left w:type="dxa" w:w="100"/>
              <w:bottom w:type="dxa" w:w="60"/>
              <w:right w:type="dxa" w:w="100"/>
            </w:tcMar>
            <w:vAlign w:val="center"/>
          </w:tcPr>
          <w:p>
            <w:pPr>
              <w:spacing w:after="0"/>
              <w:jc w:val="center"/>
            </w:pPr>
            <w:r>
              <w:rPr>
                <w:b/>
                <w:bCs/>
                <w:sz w:val="19"/>
                <w:szCs w:val="19"/>
              </w:rPr>
              <w:t xml:space="preserve">29,68</w:t>
            </w:r>
          </w:p>
        </w:tc>
        <w:tc>
          <w:tcPr>
            <w:tcW w:type="dxa" w:w="950"/>
            <w:shd w:fill="DCE6F1" w:val="clear"/>
            <w:tcMar>
              <w:top w:type="dxa" w:w="60"/>
              <w:left w:type="dxa" w:w="100"/>
              <w:bottom w:type="dxa" w:w="60"/>
              <w:right w:type="dxa" w:w="100"/>
            </w:tcMar>
            <w:vAlign w:val="center"/>
          </w:tcPr>
          <w:p>
            <w:pPr>
              <w:spacing w:after="0"/>
              <w:jc w:val="center"/>
            </w:pPr>
            <w:r>
              <w:rPr>
                <w:b/>
                <w:bCs/>
                <w:sz w:val="19"/>
                <w:szCs w:val="19"/>
              </w:rPr>
              <w:t xml:space="preserve">352 000</w:t>
            </w:r>
          </w:p>
        </w:tc>
        <w:tc>
          <w:tcPr>
            <w:tcW w:type="dxa" w:w="1000"/>
            <w:shd w:fill="DCE6F1" w:val="clear"/>
            <w:tcMar>
              <w:top w:type="dxa" w:w="60"/>
              <w:left w:type="dxa" w:w="100"/>
              <w:bottom w:type="dxa" w:w="60"/>
              <w:right w:type="dxa" w:w="100"/>
            </w:tcMar>
            <w:vAlign w:val="center"/>
          </w:tcPr>
          <w:p>
            <w:pPr>
              <w:spacing w:after="0"/>
              <w:jc w:val="center"/>
            </w:pPr>
            <w:r>
              <w:rPr>
                <w:b/>
                <w:bCs/>
                <w:sz w:val="19"/>
                <w:szCs w:val="19"/>
              </w:rPr>
              <w:t xml:space="preserve">90,55</w:t>
            </w:r>
          </w:p>
        </w:tc>
        <w:tc>
          <w:tcPr>
            <w:tcW w:type="dxa" w:w="950"/>
            <w:shd w:fill="DCE6F1" w:val="clear"/>
            <w:tcMar>
              <w:top w:type="dxa" w:w="60"/>
              <w:left w:type="dxa" w:w="100"/>
              <w:bottom w:type="dxa" w:w="60"/>
              <w:right w:type="dxa" w:w="100"/>
            </w:tcMar>
            <w:vAlign w:val="center"/>
          </w:tcPr>
          <w:p>
            <w:pPr>
              <w:spacing w:after="0"/>
              <w:jc w:val="center"/>
            </w:pPr>
            <w:r>
              <w:rPr>
                <w:b/>
                <w:bCs/>
                <w:sz w:val="19"/>
                <w:szCs w:val="19"/>
              </w:rPr>
              <w:t xml:space="preserve">−33 253</w:t>
            </w:r>
          </w:p>
        </w:tc>
        <w:tc>
          <w:tcPr>
            <w:tcW w:type="dxa" w:w="1150"/>
            <w:shd w:fill="DCE6F1" w:val="clear"/>
            <w:tcMar>
              <w:top w:type="dxa" w:w="60"/>
              <w:left w:type="dxa" w:w="100"/>
              <w:bottom w:type="dxa" w:w="60"/>
              <w:right w:type="dxa" w:w="100"/>
            </w:tcMar>
            <w:vAlign w:val="center"/>
          </w:tcPr>
          <w:p>
            <w:pPr>
              <w:spacing w:after="0"/>
              <w:jc w:val="center"/>
            </w:pPr>
            <w:r>
              <w:rPr>
                <w:b/>
                <w:bCs/>
                <w:sz w:val="19"/>
                <w:szCs w:val="19"/>
              </w:rPr>
              <w:t xml:space="preserve">—</w:t>
            </w:r>
          </w:p>
        </w:tc>
      </w:tr>
    </w:tbl>
    <w:p>
      <w:pPr>
        <w:spacing w:after="140" w:before="160" w:line="276"/>
        <w:jc w:val="both"/>
      </w:pPr>
      <w:r>
        <w:rPr>
          <w:b/>
          <w:bCs/>
        </w:rPr>
        <w:t xml:space="preserve">Exemples de calculs à faire figurer sur la copie</w:t>
      </w:r>
      <w:r>
        <w:rPr>
          <w:b w:val="false"/>
          <w:bCs w:val="false"/>
        </w:rPr>
        <w:t xml:space="preserve"> (une ligne par indicateur suffit) :</w:t>
      </w:r>
    </w:p>
    <w:p>
      <w:pPr>
        <w:pStyle w:val="ListParagraph"/>
        <w:numPr>
          <w:ilvl w:val="0"/>
          <w:numId w:val="2"/>
        </w:numPr>
        <w:spacing w:after="80" w:line="276"/>
        <w:jc w:val="both"/>
      </w:pPr>
      <w:r>
        <w:rPr>
          <w:b w:val="false"/>
          <w:bCs w:val="false"/>
        </w:rPr>
        <w:t xml:space="preserve">Taux d’évolution du CA Sports nautiques = (625 940 − 610 500) ÷ 610 500 × 100 = </w:t>
      </w:r>
      <w:r>
        <w:rPr>
          <w:b/>
          <w:bCs/>
        </w:rPr>
        <w:t xml:space="preserve">+2,53 %</w:t>
      </w:r>
    </w:p>
    <w:p>
      <w:pPr>
        <w:pStyle w:val="ListParagraph"/>
        <w:numPr>
          <w:ilvl w:val="0"/>
          <w:numId w:val="2"/>
        </w:numPr>
        <w:spacing w:after="80" w:line="276"/>
        <w:jc w:val="both"/>
      </w:pPr>
      <w:r>
        <w:rPr>
          <w:b w:val="false"/>
          <w:bCs w:val="false"/>
        </w:rPr>
        <w:t xml:space="preserve">Taux de marque Sports nautiques = 200 226 ÷ 625 940 × 100 = </w:t>
      </w:r>
      <w:r>
        <w:rPr>
          <w:b/>
          <w:bCs/>
        </w:rPr>
        <w:t xml:space="preserve">31,99 %</w:t>
      </w:r>
    </w:p>
    <w:p>
      <w:pPr>
        <w:pStyle w:val="ListParagraph"/>
        <w:numPr>
          <w:ilvl w:val="0"/>
          <w:numId w:val="2"/>
        </w:numPr>
        <w:spacing w:after="80" w:line="276"/>
        <w:jc w:val="both"/>
      </w:pPr>
      <w:r>
        <w:rPr>
          <w:b w:val="false"/>
          <w:bCs w:val="false"/>
        </w:rPr>
        <w:t xml:space="preserve">Taux de réalisation de l’objectif de marge Sports nautiques = 200 226 ÷ 210 000 × 100 = </w:t>
      </w:r>
      <w:r>
        <w:rPr>
          <w:b/>
          <w:bCs/>
        </w:rPr>
        <w:t xml:space="preserve">95,35 %</w:t>
      </w:r>
    </w:p>
    <w:p>
      <w:pPr>
        <w:pStyle w:val="ListParagraph"/>
        <w:numPr>
          <w:ilvl w:val="0"/>
          <w:numId w:val="2"/>
        </w:numPr>
        <w:spacing w:after="80" w:line="276"/>
        <w:jc w:val="both"/>
      </w:pPr>
      <w:r>
        <w:rPr>
          <w:b w:val="false"/>
          <w:bCs w:val="false"/>
        </w:rPr>
        <w:t xml:space="preserve">Écart sur objectif Sports nautiques = 200 226 − 210 000 = </w:t>
      </w:r>
      <w:r>
        <w:rPr>
          <w:b/>
          <w:bCs/>
        </w:rPr>
        <w:t xml:space="preserve">−9 774 €</w:t>
      </w:r>
    </w:p>
    <w:p>
      <w:pPr>
        <w:pStyle w:val="ListParagraph"/>
        <w:numPr>
          <w:ilvl w:val="0"/>
          <w:numId w:val="2"/>
        </w:numPr>
        <w:spacing w:after="80" w:line="276"/>
        <w:jc w:val="both"/>
      </w:pPr>
      <w:r>
        <w:rPr>
          <w:b w:val="false"/>
          <w:bCs w:val="false"/>
        </w:rPr>
        <w:t xml:space="preserve">Évolution de la contribution Sports nautiques = 58,28 % − 55 % = </w:t>
      </w:r>
      <w:r>
        <w:rPr>
          <w:b/>
          <w:bCs/>
        </w:rPr>
        <w:t xml:space="preserve">+3,28 points</w:t>
      </w:r>
    </w:p>
    <w:p>
      <w:pPr>
        <w:spacing w:after="140" w:before="0" w:line="276"/>
        <w:jc w:val="both"/>
      </w:pPr>
      <w:r>
        <w:rPr>
          <w:b/>
          <w:bCs/>
        </w:rPr>
        <w:t xml:space="preserve">Vérification de cohérence</w:t>
      </w:r>
      <w:r>
        <w:rPr>
          <w:b w:val="false"/>
          <w:bCs w:val="false"/>
        </w:rPr>
        <w:t xml:space="preserve"> : −9 774 − 11 097 − 11 416 − 966 = −33 253 € = écart total (318 747 − 352 000). Le tableau est cohérent.</w:t>
      </w:r>
    </w:p>
    <w:p>
      <w:pPr>
        <w:pStyle w:val="Heading3"/>
        <w:spacing w:after="100" w:before="240"/>
      </w:pPr>
      <w:r>
        <w:rPr>
          <w:b/>
          <w:bCs/>
          <w:color w:val="C55A11"/>
          <w:sz w:val="23"/>
          <w:szCs w:val="23"/>
        </w:rPr>
        <w:t xml:space="preserve">Interprétation des résultats</w:t>
      </w:r>
    </w:p>
    <w:p>
      <w:pPr>
        <w:spacing w:after="140" w:before="0" w:line="276"/>
        <w:jc w:val="both"/>
      </w:pPr>
      <w:r>
        <w:rPr>
          <w:b/>
          <w:bCs/>
        </w:rPr>
        <w:t xml:space="preserve">Au niveau global</w:t>
      </w:r>
      <w:r>
        <w:rPr>
          <w:b w:val="false"/>
          <w:bCs w:val="false"/>
        </w:rPr>
        <w:t xml:space="preserve">, la situation est défavorable : le chiffre d’affaires recule de 3,25 % (−36 060 €) alors que le marché des sports de glisse est dynamique, et l’objectif de marge n’est atteint qu’à 90,55 % (manque à gagner de 33 253 €). L’hypothèse la plus probable, cohérente avec le contexte, est une </w:t>
      </w:r>
      <w:r>
        <w:rPr>
          <w:b/>
          <w:bCs/>
        </w:rPr>
        <w:t xml:space="preserve">perte de parts de marché au profit des nouvelles boutiques spécialisées</w:t>
      </w:r>
      <w:r>
        <w:rPr>
          <w:b w:val="false"/>
          <w:bCs w:val="false"/>
        </w:rPr>
        <w:t xml:space="preserve">.</w:t>
      </w:r>
    </w:p>
    <w:p>
      <w:pPr>
        <w:spacing w:after="140" w:before="0" w:line="276"/>
        <w:jc w:val="both"/>
      </w:pPr>
      <w:r>
        <w:rPr>
          <w:b/>
          <w:bCs/>
        </w:rPr>
        <w:t xml:space="preserve">Par univers</w:t>
      </w:r>
      <w:r>
        <w:rPr>
          <w:b w:val="false"/>
          <w:bCs w:val="false"/>
        </w:rPr>
        <w:t xml:space="preserve">, le diagnostic est contrasté :</w:t>
      </w:r>
    </w:p>
    <w:p>
      <w:pPr>
        <w:pStyle w:val="ListParagraph"/>
        <w:numPr>
          <w:ilvl w:val="0"/>
          <w:numId w:val="2"/>
        </w:numPr>
        <w:spacing w:after="80" w:line="276"/>
        <w:jc w:val="both"/>
      </w:pPr>
      <w:r>
        <w:rPr>
          <w:b/>
          <w:bCs/>
        </w:rPr>
        <w:t xml:space="preserve">Sports nautiques</w:t>
      </w:r>
      <w:r>
        <w:rPr>
          <w:b w:val="false"/>
          <w:bCs w:val="false"/>
        </w:rPr>
        <w:t xml:space="preserve"> : seul univers en croissance (+2,53 %), porté par l’engouement décrit dans l’annexe 2 (wing foil). Son taux de marque (31,99 %) est le meilleur du magasin et sa contribution atteint 58,28 % du CA (+3,28 points). C’est le </w:t>
      </w:r>
      <w:r>
        <w:rPr>
          <w:b/>
          <w:bCs/>
        </w:rPr>
        <w:t xml:space="preserve">moteur du magasin</w:t>
      </w:r>
      <w:r>
        <w:rPr>
          <w:b w:val="false"/>
          <w:bCs w:val="false"/>
        </w:rPr>
        <w:t xml:space="preserve"> — mais cette dépendance croissante à un seul univers constitue aussi un </w:t>
      </w:r>
      <w:r>
        <w:rPr>
          <w:b/>
          <w:bCs/>
        </w:rPr>
        <w:t xml:space="preserve">risque de concentration</w:t>
      </w:r>
      <w:r>
        <w:rPr>
          <w:b w:val="false"/>
          <w:bCs w:val="false"/>
        </w:rPr>
        <w:t xml:space="preserve">.</w:t>
      </w:r>
    </w:p>
    <w:p>
      <w:pPr>
        <w:pStyle w:val="ListParagraph"/>
        <w:numPr>
          <w:ilvl w:val="0"/>
          <w:numId w:val="2"/>
        </w:numPr>
        <w:spacing w:after="80" w:line="276"/>
        <w:jc w:val="both"/>
      </w:pPr>
      <w:r>
        <w:rPr>
          <w:b/>
          <w:bCs/>
        </w:rPr>
        <w:t xml:space="preserve">Glisse urbaine</w:t>
      </w:r>
      <w:r>
        <w:rPr>
          <w:b w:val="false"/>
          <w:bCs w:val="false"/>
        </w:rPr>
        <w:t xml:space="preserve"> (−11,71 %) et surtout </w:t>
      </w:r>
      <w:r>
        <w:rPr>
          <w:b/>
          <w:bCs/>
        </w:rPr>
        <w:t xml:space="preserve">Sports d’hiver</w:t>
      </w:r>
      <w:r>
        <w:rPr>
          <w:b w:val="false"/>
          <w:bCs w:val="false"/>
        </w:rPr>
        <w:t xml:space="preserve"> (−21,52 %) : deux univers en fort recul, avec des objectifs de marge très loin d’être atteints (79,82 % et 67,38 %). Causes possibles : concurrence spécialisée, désaffection de la clientèle, assortiment vieillissant, aléas climatiques pour l’hiver.</w:t>
      </w:r>
    </w:p>
    <w:p>
      <w:pPr>
        <w:pStyle w:val="ListParagraph"/>
        <w:numPr>
          <w:ilvl w:val="0"/>
          <w:numId w:val="2"/>
        </w:numPr>
        <w:spacing w:after="80" w:line="276"/>
        <w:jc w:val="both"/>
      </w:pPr>
      <w:r>
        <w:rPr>
          <w:b/>
          <w:bCs/>
        </w:rPr>
        <w:t xml:space="preserve">Vêtements et accessoires</w:t>
      </w:r>
      <w:r>
        <w:rPr>
          <w:b w:val="false"/>
          <w:bCs w:val="false"/>
        </w:rPr>
        <w:t xml:space="preserve"> : CA en retrait modéré (−4,14 %) mais objectif de marge presque atteint (98,14 %). En revanche, son taux de marque (23,98 %) est le plus faible du magasin, ce qui est atypique pour du textile, souvent plus margé : cela peut traduire des démarques ou soldes importantes pour écouler les stocks.</w:t>
      </w:r>
    </w:p>
    <w:p>
      <w:pPr>
        <w:spacing w:after="140" w:before="0" w:line="276"/>
        <w:jc w:val="both"/>
      </w:pPr>
      <w:r>
        <w:rPr>
          <w:b/>
          <w:bCs/>
        </w:rPr>
        <w:t xml:space="preserve">Conséquences managériales envisageables</w:t>
      </w:r>
      <w:r>
        <w:rPr>
          <w:b w:val="false"/>
          <w:bCs w:val="false"/>
        </w:rPr>
        <w:t xml:space="preserve"> : renforcer l’offre sports nautiques (d’où la question 1.2 sur le « Top One »), redynamiser ou rationaliser la glisse urbaine et les sports d’hiver (réduction du linéaire, déstockage, repositionnement), et animer le point de vente pour recréer du trafic (d’où le dossier 2). Le tableau de bord ne conclut pas « c’est mauvais » : il oriente des </w:t>
      </w:r>
      <w:r>
        <w:rPr>
          <w:b/>
          <w:bCs/>
        </w:rPr>
        <w:t xml:space="preserve">décisions</w:t>
      </w:r>
      <w:r>
        <w:rPr>
          <w:b w:val="false"/>
          <w:bCs w:val="false"/>
        </w:rPr>
        <w:t xml:space="preserve">.</w:t>
      </w:r>
    </w:p>
    <w:p>
      <w:pPr>
        <w:pStyle w:val="Heading3"/>
        <w:spacing w:after="100" w:before="240"/>
      </w:pPr>
      <w:r>
        <w:rPr>
          <w:b/>
          <w:bCs/>
          <w:color w:val="C55A11"/>
          <w:sz w:val="23"/>
          <w:szCs w:val="23"/>
        </w:rPr>
        <w:t xml:space="preserve">Réponse rédigée attendue (modèle de copie)</w:t>
      </w:r>
    </w:p>
    <w:p>
      <w:pPr>
        <w:spacing w:after="140" w:before="0" w:line="276"/>
        <w:jc w:val="both"/>
      </w:pPr>
      <w:r>
        <w:rPr>
          <w:b w:val="false"/>
          <w:bCs w:val="false"/>
        </w:rPr>
        <w:t xml:space="preserve">« Le tableau de bord ci-dessus a été complété à l’aide de quatre indicateurs : le taux d’évolution du chiffre d’affaires, le taux de marque, le taux de réalisation de l’objectif de marge (complété de l’écart en euros) et l’évolution du taux de contribution au CA.</w:t>
      </w:r>
    </w:p>
    <w:p>
      <w:pPr>
        <w:spacing w:after="140" w:before="0" w:line="276"/>
        <w:jc w:val="both"/>
      </w:pPr>
      <w:r>
        <w:rPr>
          <w:b w:val="false"/>
          <w:bCs w:val="false"/>
        </w:rPr>
        <w:t xml:space="preserve">L’activité globale du magasin NEWAY se dégrade : le CA recule de 3,25 % en 2023, soit une perte de 36 060 €, et la marge réalisée (318 747 €) est inférieure de 33 253 € à l’objectif (taux de réalisation de 90,55 %). Cette contre-performance, dans un marché de la glisse pourtant porteur, s’explique vraisemblablement par l’arrivée de concurrents spécialisés.</w:t>
      </w:r>
    </w:p>
    <w:p>
      <w:pPr>
        <w:spacing w:after="140" w:before="0" w:line="276"/>
        <w:jc w:val="both"/>
      </w:pPr>
      <w:r>
        <w:rPr>
          <w:b w:val="false"/>
          <w:bCs w:val="false"/>
        </w:rPr>
        <w:t xml:space="preserve">L’analyse par univers révèle toutefois une situation contrastée. Les sports nautiques constituent le point fort du magasin : seul univers en croissance (+2,53 %), meilleur taux de marque (31,99 %), contribution en hausse de 3,28 points à 58,28 % du CA. À l’inverse, la glisse urbaine (−11,71 %) et les sports d’hiver (−21,52 %) décrochent nettement et n’atteignent respectivement que 79,82 % et 67,38 % de leur objectif de marge. Les vêtements et accessoires résistent mieux (objectif de marge atteint à 98,14 %) mais affichent le taux de marque le plus faible (23,98 %).</w:t>
      </w:r>
    </w:p>
    <w:p>
      <w:pPr>
        <w:spacing w:after="140" w:before="0" w:line="276"/>
        <w:jc w:val="both"/>
      </w:pPr>
      <w:r>
        <w:rPr>
          <w:b w:val="false"/>
          <w:bCs w:val="false"/>
        </w:rPr>
        <w:t xml:space="preserve">En conclusion, NEWAY dépend de plus en plus de son univers sports nautiques, ce qui justifie de renforcer cette offre (référencement du wing foil « Top One ») tout en engageant des actions correctrices sur les univers en difficulté et des animations commerciales pour relancer le trafic. »</w:t>
      </w:r>
    </w:p>
    <w:p>
      <w:pPr>
        <w:pStyle w:val="Heading3"/>
        <w:spacing w:after="100" w:before="240"/>
      </w:pPr>
      <w:r>
        <w:rPr>
          <w:b/>
          <w:bCs/>
          <w:color w:val="C55A11"/>
          <w:sz w:val="23"/>
          <w:szCs w:val="23"/>
        </w:rPr>
        <w:t xml:space="preserve">Conseils du correcteur</w:t>
      </w:r>
    </w:p>
    <w:p>
      <w:pPr>
        <w:pBdr>
          <w:left w:val="single" w:color="C55A11" w:sz="16"/>
        </w:pBdr>
        <w:shd w:fill="FBF2E4" w:val="clear"/>
        <w:spacing w:after="140" w:before="100" w:line="276"/>
        <w:ind w:left="240" w:right="240"/>
        <w:jc w:val="both"/>
      </w:pPr>
      <w:r>
        <w:rPr>
          <w:b w:val="false"/>
          <w:bCs w:val="false"/>
          <w:i/>
          <w:iCs/>
          <w:color w:val="3B3B3B"/>
        </w:rPr>
        <w:t xml:space="preserve">Ici, attention : le correcteur ne vous demande pas seulement de remplir des cases. La moitié des points de cette question se joue sur l’analyse. Une copie qui aligne des pourcentages justes sans une ligne de commentaire plafonnera à la moitié des points ; une copie qui commente intelligemment des calculs partiellement faux s’en sortira souvent mieux.</w:t>
      </w:r>
    </w:p>
    <w:p>
      <w:pPr>
        <w:pStyle w:val="ListParagraph"/>
        <w:numPr>
          <w:ilvl w:val="0"/>
          <w:numId w:val="2"/>
        </w:numPr>
        <w:spacing w:after="80" w:line="276"/>
        <w:jc w:val="both"/>
      </w:pPr>
      <w:r>
        <w:rPr>
          <w:b/>
          <w:bCs/>
        </w:rPr>
        <w:t xml:space="preserve">Ce qui rapporte des points</w:t>
      </w:r>
      <w:r>
        <w:rPr>
          <w:b w:val="false"/>
          <w:bCs w:val="false"/>
        </w:rPr>
        <w:t xml:space="preserve"> : le choix d’indicateurs variés (activité + rentabilité + objectifs), une ligne de calcul type par indicateur, la ligne « total magasin », l’usage du mot « points » pour les contributions, et une analyse qui relie les chiffres au contexte concurrentiel.</w:t>
      </w:r>
    </w:p>
    <w:p>
      <w:pPr>
        <w:pStyle w:val="ListParagraph"/>
        <w:numPr>
          <w:ilvl w:val="0"/>
          <w:numId w:val="2"/>
        </w:numPr>
        <w:spacing w:after="80" w:line="276"/>
        <w:jc w:val="both"/>
      </w:pPr>
      <w:r>
        <w:rPr>
          <w:b/>
          <w:bCs/>
        </w:rPr>
        <w:t xml:space="preserve">Les mots-clés professionnels à employer</w:t>
      </w:r>
      <w:r>
        <w:rPr>
          <w:b w:val="false"/>
          <w:bCs w:val="false"/>
        </w:rPr>
        <w:t xml:space="preserve"> : tableau de bord, indicateur de performance, taux de marque, taux de réalisation, écart sur objectif, contribution au CA, mesures correctrices, dépendance / concentration du CA.</w:t>
      </w:r>
    </w:p>
    <w:p>
      <w:pPr>
        <w:pStyle w:val="ListParagraph"/>
        <w:numPr>
          <w:ilvl w:val="0"/>
          <w:numId w:val="2"/>
        </w:numPr>
        <w:spacing w:after="80" w:line="276"/>
        <w:jc w:val="both"/>
      </w:pPr>
      <w:r>
        <w:rPr>
          <w:b/>
          <w:bCs/>
        </w:rPr>
        <w:t xml:space="preserve">Structurez l’analyse</w:t>
      </w:r>
      <w:r>
        <w:rPr>
          <w:b w:val="false"/>
          <w:bCs w:val="false"/>
        </w:rPr>
        <w:t xml:space="preserve"> : constat global → analyse par univers (du meilleur au moins bon) → causes probables → recommandations. C’est le plan du reporting professionnel.</w:t>
      </w:r>
    </w:p>
    <w:p>
      <w:pPr>
        <w:pStyle w:val="ListParagraph"/>
        <w:numPr>
          <w:ilvl w:val="0"/>
          <w:numId w:val="2"/>
        </w:numPr>
        <w:spacing w:after="80" w:line="276"/>
        <w:jc w:val="both"/>
      </w:pPr>
      <w:r>
        <w:rPr>
          <w:b/>
          <w:bCs/>
        </w:rPr>
        <w:t xml:space="preserve">Temps conseillé</w:t>
      </w:r>
      <w:r>
        <w:rPr>
          <w:b w:val="false"/>
          <w:bCs w:val="false"/>
        </w:rPr>
        <w:t xml:space="preserve"> : 40 minutes maximum, dont 20 pour les calculs et 20 pour la rédaction.</w:t>
      </w:r>
    </w:p>
    <w:p>
      <w:pPr>
        <w:pStyle w:val="Heading3"/>
        <w:spacing w:after="100" w:before="240"/>
      </w:pPr>
      <w:r>
        <w:rPr>
          <w:b/>
          <w:bCs/>
          <w:color w:val="C55A11"/>
          <w:sz w:val="23"/>
          <w:szCs w:val="23"/>
        </w:rPr>
        <w:t xml:space="preserve">Les erreurs fréquentes à éviter</w:t>
      </w:r>
    </w:p>
    <w:p>
      <w:pPr>
        <w:pStyle w:val="ListParagraph"/>
        <w:numPr>
          <w:ilvl w:val="0"/>
          <w:numId w:val="2"/>
        </w:numPr>
        <w:spacing w:after="80" w:line="276"/>
        <w:jc w:val="both"/>
      </w:pPr>
      <w:r>
        <w:rPr>
          <w:b w:val="false"/>
          <w:bCs w:val="false"/>
        </w:rPr>
        <w:t xml:space="preserve">Inverser numérateur et dénominateur dans le taux d’évolution (diviser par le CA 2023 au lieu du CA 2022) ;</w:t>
      </w:r>
    </w:p>
    <w:p>
      <w:pPr>
        <w:pStyle w:val="ListParagraph"/>
        <w:numPr>
          <w:ilvl w:val="0"/>
          <w:numId w:val="2"/>
        </w:numPr>
        <w:spacing w:after="80" w:line="276"/>
        <w:jc w:val="both"/>
      </w:pPr>
      <w:r>
        <w:rPr>
          <w:b w:val="false"/>
          <w:bCs w:val="false"/>
        </w:rPr>
        <w:t xml:space="preserve">Confondre </w:t>
      </w:r>
      <w:r>
        <w:rPr>
          <w:b/>
          <w:bCs/>
        </w:rPr>
        <w:t xml:space="preserve">taux de marque</w:t>
      </w:r>
      <w:r>
        <w:rPr>
          <w:b w:val="false"/>
          <w:bCs w:val="false"/>
        </w:rPr>
        <w:t xml:space="preserve"> (÷ CA HT) et </w:t>
      </w:r>
      <w:r>
        <w:rPr>
          <w:b/>
          <w:bCs/>
        </w:rPr>
        <w:t xml:space="preserve">taux de marge</w:t>
      </w:r>
      <w:r>
        <w:rPr>
          <w:b w:val="false"/>
          <w:bCs w:val="false"/>
        </w:rPr>
        <w:t xml:space="preserve"> (÷ coût d’achat HT) : annoncez toujours le nom exact de l’indicateur calculé ;</w:t>
      </w:r>
    </w:p>
    <w:p>
      <w:pPr>
        <w:pStyle w:val="ListParagraph"/>
        <w:numPr>
          <w:ilvl w:val="0"/>
          <w:numId w:val="2"/>
        </w:numPr>
        <w:spacing w:after="80" w:line="276"/>
        <w:jc w:val="both"/>
      </w:pPr>
      <w:r>
        <w:rPr>
          <w:b w:val="false"/>
          <w:bCs w:val="false"/>
        </w:rPr>
        <w:t xml:space="preserve">Exprimer l’évolution des taux de contribution en % au lieu de </w:t>
      </w:r>
      <w:r>
        <w:rPr>
          <w:b/>
          <w:bCs/>
        </w:rPr>
        <w:t xml:space="preserve">points</w:t>
      </w:r>
      <w:r>
        <w:rPr>
          <w:b w:val="false"/>
          <w:bCs w:val="false"/>
        </w:rPr>
        <w:t xml:space="preserve"> de pourcentage ;</w:t>
      </w:r>
    </w:p>
    <w:p>
      <w:pPr>
        <w:pStyle w:val="ListParagraph"/>
        <w:numPr>
          <w:ilvl w:val="0"/>
          <w:numId w:val="2"/>
        </w:numPr>
        <w:spacing w:after="80" w:line="276"/>
        <w:jc w:val="both"/>
      </w:pPr>
      <w:r>
        <w:rPr>
          <w:b w:val="false"/>
          <w:bCs w:val="false"/>
        </w:rPr>
        <w:t xml:space="preserve">Oublier la ligne « Total magasin », pourtant indispensable au diagnostic global ;</w:t>
      </w:r>
    </w:p>
    <w:p>
      <w:pPr>
        <w:pStyle w:val="ListParagraph"/>
        <w:numPr>
          <w:ilvl w:val="0"/>
          <w:numId w:val="2"/>
        </w:numPr>
        <w:spacing w:after="80" w:line="276"/>
        <w:jc w:val="both"/>
      </w:pPr>
      <w:r>
        <w:rPr>
          <w:b w:val="false"/>
          <w:bCs w:val="false"/>
        </w:rPr>
        <w:t xml:space="preserve">Oublier les unités (€, %) ou mélanger les arrondis (tenez-vous à deux décimales) ;</w:t>
      </w:r>
    </w:p>
    <w:p>
      <w:pPr>
        <w:pStyle w:val="ListParagraph"/>
        <w:numPr>
          <w:ilvl w:val="0"/>
          <w:numId w:val="2"/>
        </w:numPr>
        <w:spacing w:after="80" w:line="276"/>
        <w:jc w:val="both"/>
      </w:pPr>
      <w:r>
        <w:rPr>
          <w:b w:val="false"/>
          <w:bCs w:val="false"/>
        </w:rPr>
        <w:t xml:space="preserve">Livrer une « analyse » qui paraphrase le tableau (« le CA baisse de 3,25 % ») sans jamais interpréter (pourquoi ? avec quelles conséquences ? quelles décisions ?) ;</w:t>
      </w:r>
    </w:p>
    <w:p>
      <w:pPr>
        <w:pStyle w:val="ListParagraph"/>
        <w:numPr>
          <w:ilvl w:val="0"/>
          <w:numId w:val="2"/>
        </w:numPr>
        <w:spacing w:after="80" w:line="276"/>
        <w:jc w:val="both"/>
      </w:pPr>
      <w:r>
        <w:rPr>
          <w:b w:val="false"/>
          <w:bCs w:val="false"/>
        </w:rPr>
        <w:t xml:space="preserve">Proposer des recommandations hors-sol (« faire de la publicité ») sans lien avec les résultats calculés.</w:t>
      </w:r>
    </w:p>
    <w:p>
      <w:pPr>
        <w:pStyle w:val="Heading3"/>
        <w:spacing w:after="100" w:before="240"/>
      </w:pPr>
      <w:r>
        <w:rPr>
          <w:b/>
          <w:bCs/>
          <w:color w:val="C55A11"/>
          <w:sz w:val="23"/>
          <w:szCs w:val="23"/>
        </w:rPr>
        <w:t xml:space="preserve">Exemple complémentaire pour vous entraîner</w:t>
      </w:r>
    </w:p>
    <w:p>
      <w:pPr>
        <w:spacing w:after="140" w:before="0" w:line="276"/>
        <w:jc w:val="both"/>
      </w:pPr>
      <w:r>
        <w:rPr>
          <w:b w:val="false"/>
          <w:bCs w:val="false"/>
        </w:rPr>
        <w:t xml:space="preserve">Le rayon « trottinettes électriques » d’un magasin réalise un CA HT de 96 000 € en N−1 et de 108 000 € en N, pour une marge de 30 240 € en N et un objectif de marge de 32 000 €. Calculez le taux d’évolution du CA, le taux de marque et le taux de réalisation de l’objectif, puis commentez.</w:t>
      </w:r>
    </w:p>
    <w:p>
      <w:pPr>
        <w:spacing w:after="140" w:before="0" w:line="276"/>
        <w:jc w:val="both"/>
      </w:pPr>
      <w:r>
        <w:rPr>
          <w:b/>
          <w:bCs/>
        </w:rPr>
        <w:t xml:space="preserve">Corrigé express</w:t>
      </w:r>
      <w:r>
        <w:rPr>
          <w:b w:val="false"/>
          <w:bCs w:val="false"/>
        </w:rPr>
        <w:t xml:space="preserve"> : évolution = (108 000 − 96 000) ÷ 96 000 = </w:t>
      </w:r>
      <w:r>
        <w:rPr>
          <w:b/>
          <w:bCs/>
        </w:rPr>
        <w:t xml:space="preserve">+12,5 %</w:t>
      </w:r>
      <w:r>
        <w:rPr>
          <w:b w:val="false"/>
          <w:bCs w:val="false"/>
        </w:rPr>
        <w:t xml:space="preserve"> ; taux de marque = 30 240 ÷ 108 000 = </w:t>
      </w:r>
      <w:r>
        <w:rPr>
          <w:b/>
          <w:bCs/>
        </w:rPr>
        <w:t xml:space="preserve">28 %</w:t>
      </w:r>
      <w:r>
        <w:rPr>
          <w:b w:val="false"/>
          <w:bCs w:val="false"/>
        </w:rPr>
        <w:t xml:space="preserve"> ; réalisation = 30 240 ÷ 32 000 = </w:t>
      </w:r>
      <w:r>
        <w:rPr>
          <w:b/>
          <w:bCs/>
        </w:rPr>
        <w:t xml:space="preserve">94,5 %</w:t>
      </w:r>
      <w:r>
        <w:rPr>
          <w:b w:val="false"/>
          <w:bCs w:val="false"/>
        </w:rPr>
        <w:t xml:space="preserve">. Le rayon est dynamique en volume d’affaires mais n’atteint pas son objectif de marge : la croissance s’est peut-être faite au prix de promotions. Le manageur devra arbitrer entre volume et rentabilité.</w:t>
      </w:r>
    </w:p>
    <w:p>
      <w:pPr>
        <w:pStyle w:val="Heading3"/>
        <w:spacing w:after="100" w:before="240"/>
      </w:pPr>
      <w:r>
        <w:rPr>
          <w:b/>
          <w:bCs/>
          <w:color w:val="C55A11"/>
          <w:sz w:val="23"/>
          <w:szCs w:val="23"/>
        </w:rPr>
        <w:t xml:space="preserve">À retenir pour l’examen</w:t>
      </w:r>
    </w:p>
    <w:p>
      <w:pPr>
        <w:pBdr>
          <w:left w:val="single" w:color="375623" w:sz="16"/>
        </w:pBdr>
        <w:shd w:fill="E8F1E4" w:val="clear"/>
        <w:spacing w:after="140" w:before="100" w:line="276"/>
        <w:ind w:left="240" w:right="240"/>
        <w:jc w:val="both"/>
      </w:pPr>
      <w:r>
        <w:rPr>
          <w:b/>
          <w:bCs/>
        </w:rPr>
        <w:t xml:space="preserve">Un tableau de bord = des indicateurs variés + une ligne de calcul type + une ligne total + une analyse structurée.</w:t>
      </w:r>
      <w:r>
        <w:rPr>
          <w:b w:val="false"/>
          <w:bCs w:val="false"/>
        </w:rPr>
        <w:t xml:space="preserve"> Trois familles d’indicateurs à connaître par cœur : activité (taux d’évolution), rentabilité (taux de marque ≠ taux de marge), pilotage (taux de réalisation et écart sur objectif). Et toujours conclure par des recommandations reliées aux chiffres.</w:t>
      </w:r>
    </w:p>
    <w:p>
      <w:r>
        <w:br w:type="page"/>
      </w:r>
    </w:p>
    <w:p>
      <w:pPr>
        <w:pStyle w:val="Heading2"/>
        <w:pBdr>
          <w:bottom w:val="single" w:color="2E5AA0" w:sz="6"/>
        </w:pBdr>
        <w:spacing w:after="140" w:before="300"/>
      </w:pPr>
      <w:r>
        <w:rPr>
          <w:b/>
          <w:bCs/>
          <w:color w:val="1F3864"/>
          <w:sz w:val="26"/>
          <w:szCs w:val="26"/>
        </w:rPr>
        <w:t xml:space="preserve">Question 1.2 – Évaluer les quantités à commander de « Top One » et les conséquences sur la gestion</w:t>
      </w:r>
    </w:p>
    <w:p>
      <w:pPr>
        <w:pStyle w:val="Heading3"/>
        <w:spacing w:after="100" w:before="240"/>
      </w:pPr>
      <w:r>
        <w:rPr>
          <w:b/>
          <w:bCs/>
          <w:color w:val="C55A11"/>
          <w:sz w:val="23"/>
          <w:szCs w:val="23"/>
        </w:rPr>
        <w:t xml:space="preserve">Ce que la question vous demande</w:t>
      </w:r>
    </w:p>
    <w:p>
      <w:pPr>
        <w:spacing w:after="140" w:before="0" w:line="276"/>
        <w:jc w:val="both"/>
      </w:pPr>
      <w:r>
        <w:rPr>
          <w:b w:val="false"/>
          <w:bCs w:val="false"/>
        </w:rPr>
        <w:t xml:space="preserve">Thomas Martin pose </w:t>
      </w:r>
      <w:r>
        <w:rPr>
          <w:b/>
          <w:bCs/>
        </w:rPr>
        <w:t xml:space="preserve">deux impératifs</w:t>
      </w:r>
      <w:r>
        <w:rPr>
          <w:b w:val="false"/>
          <w:bCs w:val="false"/>
        </w:rPr>
        <w:t xml:space="preserve"> : vendre l’aile « Top One » </w:t>
      </w:r>
      <w:r>
        <w:rPr>
          <w:b/>
          <w:bCs/>
        </w:rPr>
        <w:t xml:space="preserve">au prix conseillé par SFA</w:t>
      </w:r>
      <w:r>
        <w:rPr>
          <w:b w:val="false"/>
          <w:bCs w:val="false"/>
        </w:rPr>
        <w:t xml:space="preserve"> (1 019 € TTC, annexe 3) et dégager un </w:t>
      </w:r>
      <w:r>
        <w:rPr>
          <w:b/>
          <w:bCs/>
        </w:rPr>
        <w:t xml:space="preserve">taux de marque de 32 %</w:t>
      </w:r>
      <w:r>
        <w:rPr>
          <w:b w:val="false"/>
          <w:bCs w:val="false"/>
        </w:rPr>
        <w:t xml:space="preserve">. Or le prix d’achat dépend des remises obtenues, et les remises dépendent des quantités commandées (annexe 3). La question revient donc à résoudre : </w:t>
      </w:r>
      <w:r>
        <w:rPr>
          <w:b/>
          <w:bCs/>
        </w:rPr>
        <w:t xml:space="preserve">à partir de quelle quantité commandée le prix d’achat net devient-il suffisamment bas pour garantir 32 % de taux de marque à prix de vente imposé ?</w:t>
      </w:r>
      <w:r>
        <w:rPr>
          <w:b w:val="false"/>
          <w:bCs w:val="false"/>
        </w:rPr>
        <w:t xml:space="preserve"> Il faut ensuite tirer les </w:t>
      </w:r>
      <w:r>
        <w:rPr>
          <w:b/>
          <w:bCs/>
        </w:rPr>
        <w:t xml:space="preserve">conséquences de ce volume de commande</w:t>
      </w:r>
      <w:r>
        <w:rPr>
          <w:b w:val="false"/>
          <w:bCs w:val="false"/>
        </w:rPr>
        <w:t xml:space="preserve"> sur la gestion du magasin (stocks, trésorerie, risques).</w:t>
      </w:r>
    </w:p>
    <w:p>
      <w:pPr>
        <w:spacing w:after="140" w:before="0" w:line="276"/>
        <w:jc w:val="both"/>
      </w:pPr>
      <w:r>
        <w:rPr>
          <w:b w:val="false"/>
          <w:bCs w:val="false"/>
        </w:rPr>
        <w:t xml:space="preserve">Informations à extraire de l’annexe 3 : prix d’achat catalogue 713 € HT ; remise de base de 12 % pour toute commande ; remise supplémentaire selon quantité (3 % si moins de 4 unités ; 5 % de 4 à 7 ; 8 % de 8 à 12 ; 10 % au-delà de 12) ; frais de transport offerts ; TVA 20 % ; prix de vente conseillé 1 019 € TTC. </w:t>
      </w:r>
      <w:r>
        <w:rPr>
          <w:b/>
          <w:bCs/>
        </w:rPr>
        <w:t xml:space="preserve">Forme attendue</w:t>
      </w:r>
      <w:r>
        <w:rPr>
          <w:b w:val="false"/>
          <w:bCs w:val="false"/>
        </w:rPr>
        <w:t xml:space="preserve"> : des calculs justifiés, une réponse chiffrée (la quantité), puis un paragraphe rédigé sur les conséquences. </w:t>
      </w:r>
      <w:r>
        <w:rPr>
          <w:b/>
          <w:bCs/>
        </w:rPr>
        <w:t xml:space="preserve">Pièges</w:t>
      </w:r>
      <w:r>
        <w:rPr>
          <w:b w:val="false"/>
          <w:bCs w:val="false"/>
        </w:rPr>
        <w:t xml:space="preserve"> : le prix de vente est donné TTC alors que le taux de marque se calcule en HT ; les remises sont </w:t>
      </w:r>
      <w:r>
        <w:rPr>
          <w:b/>
          <w:bCs/>
        </w:rPr>
        <w:t xml:space="preserve">en cascade</w:t>
      </w:r>
      <w:r>
        <w:rPr>
          <w:b w:val="false"/>
          <w:bCs w:val="false"/>
        </w:rPr>
        <w:t xml:space="preserve"> (successives) et non additives.</w:t>
      </w:r>
    </w:p>
    <w:p>
      <w:pPr>
        <w:pStyle w:val="Heading3"/>
        <w:spacing w:after="100" w:before="240"/>
      </w:pPr>
      <w:r>
        <w:rPr>
          <w:b/>
          <w:bCs/>
          <w:color w:val="C55A11"/>
          <w:sz w:val="23"/>
          <w:szCs w:val="23"/>
        </w:rPr>
        <w:t xml:space="preserve">Compétence et notion du référentiel mobilisées</w:t>
      </w:r>
    </w:p>
    <w:tbl>
      <w:tblPr>
        <w:tblW w:type="dxa" w:w="9350"/>
        <w:jc w:val="center"/>
        <w:tblBorders>
          <w:top w:val="single" w:color="auto" w:sz="4"/>
          <w:left w:val="single" w:color="auto" w:sz="4"/>
          <w:bottom w:val="single" w:color="auto" w:sz="4"/>
          <w:right w:val="single" w:color="auto" w:sz="4"/>
          <w:insideH w:val="single" w:color="auto" w:sz="4"/>
          <w:insideV w:val="single" w:color="auto" w:sz="4"/>
        </w:tblBorders>
      </w:tblPr>
      <w:tblGrid>
        <w:gridCol w:w="3100"/>
        <w:gridCol w:w="6250"/>
      </w:tblGrid>
      <w:tr>
        <w:trPr>
          <w:tblHeader/>
        </w:trPr>
        <w:tc>
          <w:tcPr>
            <w:tcW w:type="dxa" w:w="31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Élément du référentiel</w:t>
            </w:r>
          </w:p>
        </w:tc>
        <w:tc>
          <w:tcPr>
            <w:tcW w:type="dxa" w:w="62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Contenu</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Bloc de compétences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Bloc n° 3 « Assurer la gestion opérationnelle »</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Compétences évaluées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Gérer les opérations courantes » : fixer les prix, garantir les approvisionnements, gérer les stocks</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Savoirs associés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Les coûts et les marges » (les marges et leur calcul), « La fixation des prix » (les principaux outils de fixation du prix), « Les stocks et les approvisionnements » (le coût induit par la passation des commandes et la possession des stocks, l’impact de la rotation des stocks sur la rentabilité)</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Critères d’évaluation activés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Les propositions de prix sont réalistes », « Les approvisionnements sont assurés et optimisés », « Les données quantitatives sont judicieusement mobilisées »</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Lien avec le métier</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Négociation des conditions fournisseurs et arbitrage marge / stock : décision typique d’un responsable de rayon lors du référencement d’une nouveauté.</w:t>
            </w:r>
          </w:p>
        </w:tc>
      </w:tr>
    </w:tbl>
    <w:p>
      <w:pPr>
        <w:pStyle w:val="Heading3"/>
        <w:spacing w:after="100" w:before="240"/>
      </w:pPr>
      <w:r>
        <w:rPr>
          <w:b/>
          <w:bCs/>
          <w:color w:val="C55A11"/>
          <w:sz w:val="23"/>
          <w:szCs w:val="23"/>
        </w:rPr>
        <w:t xml:space="preserve">Rappel de cours</w:t>
      </w:r>
    </w:p>
    <w:p>
      <w:pPr>
        <w:spacing w:after="140" w:before="0" w:line="276"/>
        <w:jc w:val="both"/>
      </w:pPr>
      <w:r>
        <w:rPr>
          <w:b/>
          <w:bCs/>
        </w:rPr>
        <w:t xml:space="preserve">1. Passer du TTC au HT.</w:t>
      </w:r>
      <w:r>
        <w:rPr>
          <w:b w:val="false"/>
          <w:bCs w:val="false"/>
        </w:rPr>
        <w:t xml:space="preserve"> La TVA ne fait que transiter par l’entreprise : tous les calculs de marge se font </w:t>
      </w:r>
      <w:r>
        <w:rPr>
          <w:b/>
          <w:bCs/>
        </w:rPr>
        <w:t xml:space="preserve">hors taxes</w:t>
      </w:r>
      <w:r>
        <w:rPr>
          <w:b w:val="false"/>
          <w:bCs w:val="false"/>
        </w:rPr>
        <w:t xml:space="preserve">.</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Prix de vente HT = Prix de vente TTC ÷ (1 + taux de TVA)    →    ici : PV HT = 1 019 ÷ 1,20</w:t>
      </w:r>
    </w:p>
    <w:p>
      <w:pPr>
        <w:spacing w:after="140" w:before="0" w:line="276"/>
        <w:jc w:val="both"/>
      </w:pPr>
      <w:r>
        <w:rPr>
          <w:b/>
          <w:bCs/>
        </w:rPr>
        <w:t xml:space="preserve">2. Le taux de marque et le coût d’achat maximal.</w:t>
      </w:r>
      <w:r>
        <w:rPr>
          <w:b w:val="false"/>
          <w:bCs w:val="false"/>
        </w:rPr>
        <w:t xml:space="preserve"> Le taux de marque rapporte la marge au prix de vente HT :</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Taux de marque = (PV HT − Coût d’achat HT) ÷ PV HT    ⇔    Coût d’achat HT = PV HT × (1 − taux de marque)</w:t>
      </w:r>
    </w:p>
    <w:p>
      <w:pPr>
        <w:spacing w:after="140" w:before="0" w:line="276"/>
        <w:jc w:val="both"/>
      </w:pPr>
      <w:r>
        <w:rPr>
          <w:b w:val="false"/>
          <w:bCs w:val="false"/>
        </w:rPr>
        <w:t xml:space="preserve">Cette forme « inversée » est la clé de la question : si le taux de marque visé est 32 %, alors le coût d’achat ne doit pas dépasser </w:t>
      </w:r>
      <w:r>
        <w:rPr>
          <w:b/>
          <w:bCs/>
        </w:rPr>
        <w:t xml:space="preserve">68 % du PV HT</w:t>
      </w:r>
      <w:r>
        <w:rPr>
          <w:b w:val="false"/>
          <w:bCs w:val="false"/>
        </w:rPr>
        <w:t xml:space="preserve">. Retenez la logique : PV HT = coût d’achat + marge, donc si la marge « prend » 32 % du prix, le coût d’achat « prend » les 68 % restants.</w:t>
      </w:r>
    </w:p>
    <w:p>
      <w:pPr>
        <w:spacing w:after="140" w:before="0" w:line="276"/>
        <w:jc w:val="both"/>
      </w:pPr>
      <w:r>
        <w:rPr>
          <w:b/>
          <w:bCs/>
        </w:rPr>
        <w:t xml:space="preserve">3. Les remises en cascade.</w:t>
      </w:r>
      <w:r>
        <w:rPr>
          <w:b w:val="false"/>
          <w:bCs w:val="false"/>
        </w:rPr>
        <w:t xml:space="preserve"> Lorsque plusieurs remises s’appliquent, elles se calculent </w:t>
      </w:r>
      <w:r>
        <w:rPr>
          <w:b/>
          <w:bCs/>
        </w:rPr>
        <w:t xml:space="preserve">successivement</w:t>
      </w:r>
      <w:r>
        <w:rPr>
          <w:b w:val="false"/>
          <w:bCs w:val="false"/>
        </w:rPr>
        <w:t xml:space="preserve">, chacune sur le montant net de la précédente (méthode dite « en cascade ») :</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Prix net = Prix catalogue × (1 − r₁) × (1 − r₂)    et non    Prix × (1 − r₁ − r₂)</w:t>
      </w:r>
    </w:p>
    <w:p>
      <w:pPr>
        <w:spacing w:after="140" w:before="0" w:line="276"/>
        <w:jc w:val="both"/>
      </w:pPr>
      <w:r>
        <w:rPr>
          <w:b w:val="false"/>
          <w:bCs w:val="false"/>
        </w:rPr>
        <w:t xml:space="preserve">Exemple : 12 % puis 8 % sur 713 € donnent 713 × 0,88 × 0,92 = 577,24 €, alors qu’une (fausse) remise additive de 20 % donnerait 570,40 €. La différence peut faire basculer la conclusion : soyez rigoureux.</w:t>
      </w:r>
    </w:p>
    <w:p>
      <w:pPr>
        <w:spacing w:after="140" w:before="0" w:line="276"/>
        <w:jc w:val="both"/>
      </w:pPr>
      <w:r>
        <w:rPr>
          <w:b/>
          <w:bCs/>
        </w:rPr>
        <w:t xml:space="preserve">4. Vocabulaire.</w:t>
      </w:r>
      <w:r>
        <w:rPr>
          <w:b w:val="false"/>
          <w:bCs w:val="false"/>
        </w:rPr>
        <w:t xml:space="preserve"> Le « prix conseillé » du fournisseur n’est jamais imposé (les prix imposés sont illégaux) : le distributeur reste libre, mais Thomas Martin </w:t>
      </w:r>
      <w:r>
        <w:rPr>
          <w:b/>
          <w:bCs/>
        </w:rPr>
        <w:t xml:space="preserve">choisit</w:t>
      </w:r>
      <w:r>
        <w:rPr>
          <w:b w:val="false"/>
          <w:bCs w:val="false"/>
        </w:rPr>
        <w:t xml:space="preserve"> ici de le suivre. Les « frais de transport offerts » signifient que le prix d’achat net est aussi le coût d’achat (pas de frais accessoires à ajouter).</w:t>
      </w:r>
    </w:p>
    <w:p>
      <w:pPr>
        <w:pStyle w:val="Heading3"/>
        <w:spacing w:after="100" w:before="240"/>
      </w:pPr>
      <w:r>
        <w:rPr>
          <w:b/>
          <w:bCs/>
          <w:color w:val="C55A11"/>
          <w:sz w:val="23"/>
          <w:szCs w:val="23"/>
        </w:rPr>
        <w:t xml:space="preserve">Méthode à appliquer</w:t>
      </w:r>
    </w:p>
    <w:p>
      <w:pPr>
        <w:pStyle w:val="ListParagraph"/>
        <w:numPr>
          <w:ilvl w:val="0"/>
          <w:numId w:val="2"/>
        </w:numPr>
        <w:spacing w:after="80" w:line="276"/>
        <w:jc w:val="both"/>
      </w:pPr>
      <w:r>
        <w:rPr>
          <w:b/>
          <w:bCs/>
        </w:rPr>
        <w:t xml:space="preserve">Étape 1</w:t>
      </w:r>
      <w:r>
        <w:rPr>
          <w:b w:val="false"/>
          <w:bCs w:val="false"/>
        </w:rPr>
        <w:t xml:space="preserve"> : convertir le prix de vente conseillé en HT (1 019 ÷ 1,20).</w:t>
      </w:r>
    </w:p>
    <w:p>
      <w:pPr>
        <w:pStyle w:val="ListParagraph"/>
        <w:numPr>
          <w:ilvl w:val="0"/>
          <w:numId w:val="2"/>
        </w:numPr>
        <w:spacing w:after="80" w:line="276"/>
        <w:jc w:val="both"/>
      </w:pPr>
      <w:r>
        <w:rPr>
          <w:b/>
          <w:bCs/>
        </w:rPr>
        <w:t xml:space="preserve">Étape 2</w:t>
      </w:r>
      <w:r>
        <w:rPr>
          <w:b w:val="false"/>
          <w:bCs w:val="false"/>
        </w:rPr>
        <w:t xml:space="preserve"> : en déduire le coût d’achat maximal compatible avec un taux de marque de 32 % : PV HT × 0,68.</w:t>
      </w:r>
    </w:p>
    <w:p>
      <w:pPr>
        <w:pStyle w:val="ListParagraph"/>
        <w:numPr>
          <w:ilvl w:val="0"/>
          <w:numId w:val="2"/>
        </w:numPr>
        <w:spacing w:after="80" w:line="276"/>
        <w:jc w:val="both"/>
      </w:pPr>
      <w:r>
        <w:rPr>
          <w:b/>
          <w:bCs/>
        </w:rPr>
        <w:t xml:space="preserve">Étape 3</w:t>
      </w:r>
      <w:r>
        <w:rPr>
          <w:b w:val="false"/>
          <w:bCs w:val="false"/>
        </w:rPr>
        <w:t xml:space="preserve"> : calculer le prix d’achat net pour chaque tranche de quantités (remise de 12 %, puis remise supplémentaire en cascade).</w:t>
      </w:r>
    </w:p>
    <w:p>
      <w:pPr>
        <w:pStyle w:val="ListParagraph"/>
        <w:numPr>
          <w:ilvl w:val="0"/>
          <w:numId w:val="2"/>
        </w:numPr>
        <w:spacing w:after="80" w:line="276"/>
        <w:jc w:val="both"/>
      </w:pPr>
      <w:r>
        <w:rPr>
          <w:b/>
          <w:bCs/>
        </w:rPr>
        <w:t xml:space="preserve">Étape 4</w:t>
      </w:r>
      <w:r>
        <w:rPr>
          <w:b w:val="false"/>
          <w:bCs w:val="false"/>
        </w:rPr>
        <w:t xml:space="preserve"> : comparer chaque prix net au coût d’achat maximal et identifier la première tranche qui respecte la contrainte.</w:t>
      </w:r>
    </w:p>
    <w:p>
      <w:pPr>
        <w:pStyle w:val="ListParagraph"/>
        <w:numPr>
          <w:ilvl w:val="0"/>
          <w:numId w:val="2"/>
        </w:numPr>
        <w:spacing w:after="80" w:line="276"/>
        <w:jc w:val="both"/>
      </w:pPr>
      <w:r>
        <w:rPr>
          <w:b/>
          <w:bCs/>
        </w:rPr>
        <w:t xml:space="preserve">Étape 5</w:t>
      </w:r>
      <w:r>
        <w:rPr>
          <w:b w:val="false"/>
          <w:bCs w:val="false"/>
        </w:rPr>
        <w:t xml:space="preserve"> : vérifier (recalculer le taux de marque obtenu) puis conclure sur la quantité à commander.</w:t>
      </w:r>
    </w:p>
    <w:p>
      <w:pPr>
        <w:pStyle w:val="ListParagraph"/>
        <w:numPr>
          <w:ilvl w:val="0"/>
          <w:numId w:val="2"/>
        </w:numPr>
        <w:spacing w:after="80" w:line="276"/>
        <w:jc w:val="both"/>
      </w:pPr>
      <w:r>
        <w:rPr>
          <w:b/>
          <w:bCs/>
        </w:rPr>
        <w:t xml:space="preserve">Étape 6</w:t>
      </w:r>
      <w:r>
        <w:rPr>
          <w:b w:val="false"/>
          <w:bCs w:val="false"/>
        </w:rPr>
        <w:t xml:space="preserve"> : rédiger les conséquences du volume imposé sur la gestion (stock, trésorerie, risque, place en magasin).</w:t>
      </w:r>
    </w:p>
    <w:p>
      <w:pPr>
        <w:pBdr>
          <w:left w:val="single" w:color="C55A11" w:sz="16"/>
        </w:pBdr>
        <w:shd w:fill="FBF2E4" w:val="clear"/>
        <w:spacing w:after="140" w:before="100" w:line="276"/>
        <w:ind w:left="240" w:right="240"/>
        <w:jc w:val="both"/>
      </w:pPr>
      <w:r>
        <w:rPr>
          <w:b w:val="false"/>
          <w:bCs w:val="false"/>
          <w:i/>
          <w:iCs/>
          <w:color w:val="3B3B3B"/>
        </w:rPr>
        <w:t xml:space="preserve">Une méthode alternative, élégante et rapide : calculer la remise globale nécessaire. Il faut passer de 713 € à 577,43 €, soit une remise globale de 19,01 %. Comme la remise de base est de 12 %, la remise supplémentaire doit vérifier (1 − 0,12) × (1 − r) = 0,8099, d’où r ≥ 7,97 %, donc la tranche à 8 %. Les deux méthodes sont acceptées ; la comparaison tranche par tranche est plus lisible pour le correcteur, la méthode globale est plus rapide. Choisissez celle que vous maîtrisez.</w:t>
      </w:r>
    </w:p>
    <w:p>
      <w:pPr>
        <w:pStyle w:val="Heading3"/>
        <w:spacing w:after="100" w:before="240"/>
      </w:pPr>
      <w:r>
        <w:rPr>
          <w:b/>
          <w:bCs/>
          <w:color w:val="C55A11"/>
          <w:sz w:val="23"/>
          <w:szCs w:val="23"/>
        </w:rPr>
        <w:t xml:space="preserve">Correction détaillée</w:t>
      </w:r>
    </w:p>
    <w:p>
      <w:pPr>
        <w:spacing w:after="140" w:before="0" w:line="276"/>
        <w:jc w:val="both"/>
      </w:pPr>
      <w:r>
        <w:rPr>
          <w:b/>
          <w:bCs/>
        </w:rPr>
        <w:t xml:space="preserve">Étape 1 – Prix de vente HT.</w:t>
      </w:r>
      <w:r>
        <w:rPr>
          <w:b w:val="false"/>
          <w:bCs w:val="false"/>
        </w:rPr>
        <w:t xml:space="preserve"> PV HT = 1 019 ÷ 1,20 = </w:t>
      </w:r>
      <w:r>
        <w:rPr>
          <w:b/>
          <w:bCs/>
        </w:rPr>
        <w:t xml:space="preserve">849,17 €</w:t>
      </w:r>
      <w:r>
        <w:rPr>
          <w:b w:val="false"/>
          <w:bCs w:val="false"/>
        </w:rPr>
        <w:t xml:space="preserve"> (arrondi au centime).</w:t>
      </w:r>
    </w:p>
    <w:p>
      <w:pPr>
        <w:spacing w:after="140" w:before="0" w:line="276"/>
        <w:jc w:val="both"/>
      </w:pPr>
      <w:r>
        <w:rPr>
          <w:b/>
          <w:bCs/>
        </w:rPr>
        <w:t xml:space="preserve">Étape 2 – Coût d’achat maximal pour 32 % de taux de marque.</w:t>
      </w:r>
      <w:r>
        <w:rPr>
          <w:b w:val="false"/>
          <w:bCs w:val="false"/>
        </w:rPr>
        <w:t xml:space="preserve"> Coût d’achat maxi = 849,17 × (1 − 0,32) = 849,17 × 0,68 = </w:t>
      </w:r>
      <w:r>
        <w:rPr>
          <w:b/>
          <w:bCs/>
        </w:rPr>
        <w:t xml:space="preserve">577,43 €</w:t>
      </w:r>
      <w:r>
        <w:rPr>
          <w:b w:val="false"/>
          <w:bCs w:val="false"/>
        </w:rPr>
        <w:t xml:space="preserve">. Autrement dit, la marge unitaire minimale attendue est de 849,17 − 577,43 = 271,74 €.</w:t>
      </w:r>
    </w:p>
    <w:p>
      <w:pPr>
        <w:spacing w:after="140" w:before="0" w:line="276"/>
        <w:jc w:val="both"/>
      </w:pPr>
      <w:r>
        <w:rPr>
          <w:b/>
          <w:bCs/>
        </w:rPr>
        <w:t xml:space="preserve">Étape 3 – Prix d’achat net selon les quantités.</w:t>
      </w:r>
      <w:r>
        <w:rPr>
          <w:b w:val="false"/>
          <w:bCs w:val="false"/>
        </w:rPr>
        <w:t xml:space="preserve"> Prix après remise de base : 713 × 0,88 = </w:t>
      </w:r>
      <w:r>
        <w:rPr>
          <w:b/>
          <w:bCs/>
        </w:rPr>
        <w:t xml:space="preserve">627,44 €</w:t>
      </w:r>
      <w:r>
        <w:rPr>
          <w:b w:val="false"/>
          <w:bCs w:val="false"/>
        </w:rPr>
        <w:t xml:space="preserve">. Puis, en cascade :</w:t>
      </w:r>
    </w:p>
    <w:tbl>
      <w:tblPr>
        <w:tblW w:type="dxa" w:w="9350"/>
        <w:jc w:val="center"/>
        <w:tblBorders>
          <w:top w:val="single" w:color="auto" w:sz="4"/>
          <w:left w:val="single" w:color="auto" w:sz="4"/>
          <w:bottom w:val="single" w:color="auto" w:sz="4"/>
          <w:right w:val="single" w:color="auto" w:sz="4"/>
          <w:insideH w:val="single" w:color="auto" w:sz="4"/>
          <w:insideV w:val="single" w:color="auto" w:sz="4"/>
        </w:tblBorders>
      </w:tblPr>
      <w:tblGrid>
        <w:gridCol w:w="1750"/>
        <w:gridCol w:w="1400"/>
        <w:gridCol w:w="1700"/>
        <w:gridCol w:w="1400"/>
        <w:gridCol w:w="1550"/>
        <w:gridCol w:w="1550"/>
      </w:tblGrid>
      <w:tr>
        <w:trPr>
          <w:tblHeader/>
        </w:trPr>
        <w:tc>
          <w:tcPr>
            <w:tcW w:type="dxa" w:w="17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Quantité commandée</w:t>
            </w:r>
          </w:p>
        </w:tc>
        <w:tc>
          <w:tcPr>
            <w:tcW w:type="dxa" w:w="14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Remise supplémentaire</w:t>
            </w:r>
          </w:p>
        </w:tc>
        <w:tc>
          <w:tcPr>
            <w:tcW w:type="dxa" w:w="17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Calcul du prix net (€)</w:t>
            </w:r>
          </w:p>
        </w:tc>
        <w:tc>
          <w:tcPr>
            <w:tcW w:type="dxa" w:w="14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Prix d’achat net (€)</w:t>
            </w:r>
          </w:p>
        </w:tc>
        <w:tc>
          <w:tcPr>
            <w:tcW w:type="dxa" w:w="15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Prix net ≤ 577,43 € ?</w:t>
            </w:r>
          </w:p>
        </w:tc>
        <w:tc>
          <w:tcPr>
            <w:tcW w:type="dxa" w:w="15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Taux de marque obtenu</w:t>
            </w:r>
          </w:p>
        </w:tc>
      </w:tr>
      <w:tr>
        <w:tc>
          <w:tcPr>
            <w:tcW w:type="dxa" w:w="1750"/>
            <w:tcMar>
              <w:top w:type="dxa" w:w="60"/>
              <w:left w:type="dxa" w:w="100"/>
              <w:bottom w:type="dxa" w:w="60"/>
              <w:right w:type="dxa" w:w="100"/>
            </w:tcMar>
            <w:vAlign w:val="center"/>
          </w:tcPr>
          <w:p>
            <w:pPr>
              <w:spacing w:after="0"/>
              <w:jc w:val="center"/>
            </w:pPr>
            <w:r>
              <w:rPr>
                <w:b w:val="false"/>
                <w:bCs w:val="false"/>
                <w:sz w:val="19"/>
                <w:szCs w:val="19"/>
              </w:rPr>
              <w:t xml:space="preserve">Moins de 4 unités</w:t>
            </w:r>
          </w:p>
        </w:tc>
        <w:tc>
          <w:tcPr>
            <w:tcW w:type="dxa" w:w="1400"/>
            <w:tcMar>
              <w:top w:type="dxa" w:w="60"/>
              <w:left w:type="dxa" w:w="100"/>
              <w:bottom w:type="dxa" w:w="60"/>
              <w:right w:type="dxa" w:w="100"/>
            </w:tcMar>
            <w:vAlign w:val="center"/>
          </w:tcPr>
          <w:p>
            <w:pPr>
              <w:spacing w:after="0"/>
              <w:jc w:val="center"/>
            </w:pPr>
            <w:r>
              <w:rPr>
                <w:b w:val="false"/>
                <w:bCs w:val="false"/>
                <w:sz w:val="19"/>
                <w:szCs w:val="19"/>
              </w:rPr>
              <w:t xml:space="preserve">3 %</w:t>
            </w:r>
          </w:p>
        </w:tc>
        <w:tc>
          <w:tcPr>
            <w:tcW w:type="dxa" w:w="1700"/>
            <w:tcMar>
              <w:top w:type="dxa" w:w="60"/>
              <w:left w:type="dxa" w:w="100"/>
              <w:bottom w:type="dxa" w:w="60"/>
              <w:right w:type="dxa" w:w="100"/>
            </w:tcMar>
            <w:vAlign w:val="center"/>
          </w:tcPr>
          <w:p>
            <w:pPr>
              <w:spacing w:after="0"/>
              <w:jc w:val="center"/>
            </w:pPr>
            <w:r>
              <w:rPr>
                <w:b w:val="false"/>
                <w:bCs w:val="false"/>
                <w:sz w:val="19"/>
                <w:szCs w:val="19"/>
              </w:rPr>
              <w:t xml:space="preserve">627,44 × 0,97</w:t>
            </w:r>
          </w:p>
        </w:tc>
        <w:tc>
          <w:tcPr>
            <w:tcW w:type="dxa" w:w="1400"/>
            <w:tcMar>
              <w:top w:type="dxa" w:w="60"/>
              <w:left w:type="dxa" w:w="100"/>
              <w:bottom w:type="dxa" w:w="60"/>
              <w:right w:type="dxa" w:w="100"/>
            </w:tcMar>
            <w:vAlign w:val="center"/>
          </w:tcPr>
          <w:p>
            <w:pPr>
              <w:spacing w:after="0"/>
              <w:jc w:val="center"/>
            </w:pPr>
            <w:r>
              <w:rPr>
                <w:b w:val="false"/>
                <w:bCs w:val="false"/>
                <w:sz w:val="19"/>
                <w:szCs w:val="19"/>
              </w:rPr>
              <w:t xml:space="preserve">608,62</w:t>
            </w:r>
          </w:p>
        </w:tc>
        <w:tc>
          <w:tcPr>
            <w:tcW w:type="dxa" w:w="1550"/>
            <w:tcMar>
              <w:top w:type="dxa" w:w="60"/>
              <w:left w:type="dxa" w:w="100"/>
              <w:bottom w:type="dxa" w:w="60"/>
              <w:right w:type="dxa" w:w="100"/>
            </w:tcMar>
            <w:vAlign w:val="center"/>
          </w:tcPr>
          <w:p>
            <w:pPr>
              <w:spacing w:after="0"/>
              <w:jc w:val="center"/>
            </w:pPr>
            <w:r>
              <w:rPr>
                <w:b w:val="false"/>
                <w:bCs w:val="false"/>
                <w:sz w:val="19"/>
                <w:szCs w:val="19"/>
              </w:rPr>
              <w:t xml:space="preserve">Non</w:t>
            </w:r>
          </w:p>
        </w:tc>
        <w:tc>
          <w:tcPr>
            <w:tcW w:type="dxa" w:w="1550"/>
            <w:tcMar>
              <w:top w:type="dxa" w:w="60"/>
              <w:left w:type="dxa" w:w="100"/>
              <w:bottom w:type="dxa" w:w="60"/>
              <w:right w:type="dxa" w:w="100"/>
            </w:tcMar>
            <w:vAlign w:val="center"/>
          </w:tcPr>
          <w:p>
            <w:pPr>
              <w:spacing w:after="0"/>
              <w:jc w:val="center"/>
            </w:pPr>
            <w:r>
              <w:rPr>
                <w:b w:val="false"/>
                <w:bCs w:val="false"/>
                <w:sz w:val="19"/>
                <w:szCs w:val="19"/>
              </w:rPr>
              <w:t xml:space="preserve">28,32 %</w:t>
            </w:r>
          </w:p>
        </w:tc>
      </w:tr>
      <w:tr>
        <w:tc>
          <w:tcPr>
            <w:tcW w:type="dxa" w:w="1750"/>
            <w:tcMar>
              <w:top w:type="dxa" w:w="60"/>
              <w:left w:type="dxa" w:w="100"/>
              <w:bottom w:type="dxa" w:w="60"/>
              <w:right w:type="dxa" w:w="100"/>
            </w:tcMar>
            <w:vAlign w:val="center"/>
          </w:tcPr>
          <w:p>
            <w:pPr>
              <w:spacing w:after="0"/>
              <w:jc w:val="center"/>
            </w:pPr>
            <w:r>
              <w:rPr>
                <w:b w:val="false"/>
                <w:bCs w:val="false"/>
                <w:sz w:val="19"/>
                <w:szCs w:val="19"/>
              </w:rPr>
              <w:t xml:space="preserve">De 4 à 7 unités</w:t>
            </w:r>
          </w:p>
        </w:tc>
        <w:tc>
          <w:tcPr>
            <w:tcW w:type="dxa" w:w="1400"/>
            <w:tcMar>
              <w:top w:type="dxa" w:w="60"/>
              <w:left w:type="dxa" w:w="100"/>
              <w:bottom w:type="dxa" w:w="60"/>
              <w:right w:type="dxa" w:w="100"/>
            </w:tcMar>
            <w:vAlign w:val="center"/>
          </w:tcPr>
          <w:p>
            <w:pPr>
              <w:spacing w:after="0"/>
              <w:jc w:val="center"/>
            </w:pPr>
            <w:r>
              <w:rPr>
                <w:b w:val="false"/>
                <w:bCs w:val="false"/>
                <w:sz w:val="19"/>
                <w:szCs w:val="19"/>
              </w:rPr>
              <w:t xml:space="preserve">5 %</w:t>
            </w:r>
          </w:p>
        </w:tc>
        <w:tc>
          <w:tcPr>
            <w:tcW w:type="dxa" w:w="1700"/>
            <w:tcMar>
              <w:top w:type="dxa" w:w="60"/>
              <w:left w:type="dxa" w:w="100"/>
              <w:bottom w:type="dxa" w:w="60"/>
              <w:right w:type="dxa" w:w="100"/>
            </w:tcMar>
            <w:vAlign w:val="center"/>
          </w:tcPr>
          <w:p>
            <w:pPr>
              <w:spacing w:after="0"/>
              <w:jc w:val="center"/>
            </w:pPr>
            <w:r>
              <w:rPr>
                <w:b w:val="false"/>
                <w:bCs w:val="false"/>
                <w:sz w:val="19"/>
                <w:szCs w:val="19"/>
              </w:rPr>
              <w:t xml:space="preserve">627,44 × 0,95</w:t>
            </w:r>
          </w:p>
        </w:tc>
        <w:tc>
          <w:tcPr>
            <w:tcW w:type="dxa" w:w="1400"/>
            <w:tcMar>
              <w:top w:type="dxa" w:w="60"/>
              <w:left w:type="dxa" w:w="100"/>
              <w:bottom w:type="dxa" w:w="60"/>
              <w:right w:type="dxa" w:w="100"/>
            </w:tcMar>
            <w:vAlign w:val="center"/>
          </w:tcPr>
          <w:p>
            <w:pPr>
              <w:spacing w:after="0"/>
              <w:jc w:val="center"/>
            </w:pPr>
            <w:r>
              <w:rPr>
                <w:b w:val="false"/>
                <w:bCs w:val="false"/>
                <w:sz w:val="19"/>
                <w:szCs w:val="19"/>
              </w:rPr>
              <w:t xml:space="preserve">596,07</w:t>
            </w:r>
          </w:p>
        </w:tc>
        <w:tc>
          <w:tcPr>
            <w:tcW w:type="dxa" w:w="1550"/>
            <w:tcMar>
              <w:top w:type="dxa" w:w="60"/>
              <w:left w:type="dxa" w:w="100"/>
              <w:bottom w:type="dxa" w:w="60"/>
              <w:right w:type="dxa" w:w="100"/>
            </w:tcMar>
            <w:vAlign w:val="center"/>
          </w:tcPr>
          <w:p>
            <w:pPr>
              <w:spacing w:after="0"/>
              <w:jc w:val="center"/>
            </w:pPr>
            <w:r>
              <w:rPr>
                <w:b w:val="false"/>
                <w:bCs w:val="false"/>
                <w:sz w:val="19"/>
                <w:szCs w:val="19"/>
              </w:rPr>
              <w:t xml:space="preserve">Non</w:t>
            </w:r>
          </w:p>
        </w:tc>
        <w:tc>
          <w:tcPr>
            <w:tcW w:type="dxa" w:w="1550"/>
            <w:tcMar>
              <w:top w:type="dxa" w:w="60"/>
              <w:left w:type="dxa" w:w="100"/>
              <w:bottom w:type="dxa" w:w="60"/>
              <w:right w:type="dxa" w:w="100"/>
            </w:tcMar>
            <w:vAlign w:val="center"/>
          </w:tcPr>
          <w:p>
            <w:pPr>
              <w:spacing w:after="0"/>
              <w:jc w:val="center"/>
            </w:pPr>
            <w:r>
              <w:rPr>
                <w:b w:val="false"/>
                <w:bCs w:val="false"/>
                <w:sz w:val="19"/>
                <w:szCs w:val="19"/>
              </w:rPr>
              <w:t xml:space="preserve">29,81 %</w:t>
            </w:r>
          </w:p>
        </w:tc>
      </w:tr>
      <w:tr>
        <w:tc>
          <w:tcPr>
            <w:tcW w:type="dxa" w:w="1750"/>
            <w:tcMar>
              <w:top w:type="dxa" w:w="60"/>
              <w:left w:type="dxa" w:w="100"/>
              <w:bottom w:type="dxa" w:w="60"/>
              <w:right w:type="dxa" w:w="100"/>
            </w:tcMar>
            <w:vAlign w:val="center"/>
          </w:tcPr>
          <w:p>
            <w:pPr>
              <w:spacing w:after="0"/>
              <w:jc w:val="center"/>
            </w:pPr>
            <w:r>
              <w:rPr>
                <w:b w:val="false"/>
                <w:bCs w:val="false"/>
                <w:sz w:val="19"/>
                <w:szCs w:val="19"/>
              </w:rPr>
              <w:t xml:space="preserve">De 8 à 12 unités</w:t>
            </w:r>
          </w:p>
        </w:tc>
        <w:tc>
          <w:tcPr>
            <w:tcW w:type="dxa" w:w="1400"/>
            <w:tcMar>
              <w:top w:type="dxa" w:w="60"/>
              <w:left w:type="dxa" w:w="100"/>
              <w:bottom w:type="dxa" w:w="60"/>
              <w:right w:type="dxa" w:w="100"/>
            </w:tcMar>
            <w:vAlign w:val="center"/>
          </w:tcPr>
          <w:p>
            <w:pPr>
              <w:spacing w:after="0"/>
              <w:jc w:val="center"/>
            </w:pPr>
            <w:r>
              <w:rPr>
                <w:b w:val="false"/>
                <w:bCs w:val="false"/>
                <w:sz w:val="19"/>
                <w:szCs w:val="19"/>
              </w:rPr>
              <w:t xml:space="preserve">8 %</w:t>
            </w:r>
          </w:p>
        </w:tc>
        <w:tc>
          <w:tcPr>
            <w:tcW w:type="dxa" w:w="1700"/>
            <w:tcMar>
              <w:top w:type="dxa" w:w="60"/>
              <w:left w:type="dxa" w:w="100"/>
              <w:bottom w:type="dxa" w:w="60"/>
              <w:right w:type="dxa" w:w="100"/>
            </w:tcMar>
            <w:vAlign w:val="center"/>
          </w:tcPr>
          <w:p>
            <w:pPr>
              <w:spacing w:after="0"/>
              <w:jc w:val="center"/>
            </w:pPr>
            <w:r>
              <w:rPr>
                <w:b w:val="false"/>
                <w:bCs w:val="false"/>
                <w:sz w:val="19"/>
                <w:szCs w:val="19"/>
              </w:rPr>
              <w:t xml:space="preserve">627,44 × 0,92</w:t>
            </w:r>
          </w:p>
        </w:tc>
        <w:tc>
          <w:tcPr>
            <w:tcW w:type="dxa" w:w="1400"/>
            <w:tcMar>
              <w:top w:type="dxa" w:w="60"/>
              <w:left w:type="dxa" w:w="100"/>
              <w:bottom w:type="dxa" w:w="60"/>
              <w:right w:type="dxa" w:w="100"/>
            </w:tcMar>
            <w:vAlign w:val="center"/>
          </w:tcPr>
          <w:p>
            <w:pPr>
              <w:spacing w:after="0"/>
              <w:jc w:val="center"/>
            </w:pPr>
            <w:r>
              <w:rPr>
                <w:b w:val="false"/>
                <w:bCs w:val="false"/>
                <w:sz w:val="19"/>
                <w:szCs w:val="19"/>
              </w:rPr>
              <w:t xml:space="preserve">577,24</w:t>
            </w:r>
          </w:p>
        </w:tc>
        <w:tc>
          <w:tcPr>
            <w:tcW w:type="dxa" w:w="1550"/>
            <w:tcMar>
              <w:top w:type="dxa" w:w="60"/>
              <w:left w:type="dxa" w:w="100"/>
              <w:bottom w:type="dxa" w:w="60"/>
              <w:right w:type="dxa" w:w="100"/>
            </w:tcMar>
            <w:vAlign w:val="center"/>
          </w:tcPr>
          <w:p>
            <w:pPr>
              <w:spacing w:after="0"/>
              <w:jc w:val="center"/>
            </w:pPr>
            <w:r>
              <w:rPr>
                <w:b/>
                <w:bCs/>
                <w:sz w:val="19"/>
                <w:szCs w:val="19"/>
              </w:rPr>
              <w:t xml:space="preserve">Oui</w:t>
            </w:r>
          </w:p>
        </w:tc>
        <w:tc>
          <w:tcPr>
            <w:tcW w:type="dxa" w:w="1550"/>
            <w:tcMar>
              <w:top w:type="dxa" w:w="60"/>
              <w:left w:type="dxa" w:w="100"/>
              <w:bottom w:type="dxa" w:w="60"/>
              <w:right w:type="dxa" w:w="100"/>
            </w:tcMar>
            <w:vAlign w:val="center"/>
          </w:tcPr>
          <w:p>
            <w:pPr>
              <w:spacing w:after="0"/>
              <w:jc w:val="center"/>
            </w:pPr>
            <w:r>
              <w:rPr>
                <w:b/>
                <w:bCs/>
                <w:sz w:val="19"/>
                <w:szCs w:val="19"/>
              </w:rPr>
              <w:t xml:space="preserve">32,02 %</w:t>
            </w:r>
          </w:p>
        </w:tc>
      </w:tr>
      <w:tr>
        <w:tc>
          <w:tcPr>
            <w:tcW w:type="dxa" w:w="1750"/>
            <w:tcMar>
              <w:top w:type="dxa" w:w="60"/>
              <w:left w:type="dxa" w:w="100"/>
              <w:bottom w:type="dxa" w:w="60"/>
              <w:right w:type="dxa" w:w="100"/>
            </w:tcMar>
            <w:vAlign w:val="center"/>
          </w:tcPr>
          <w:p>
            <w:pPr>
              <w:spacing w:after="0"/>
              <w:jc w:val="center"/>
            </w:pPr>
            <w:r>
              <w:rPr>
                <w:b w:val="false"/>
                <w:bCs w:val="false"/>
                <w:sz w:val="19"/>
                <w:szCs w:val="19"/>
              </w:rPr>
              <w:t xml:space="preserve">Plus de 12 unités</w:t>
            </w:r>
          </w:p>
        </w:tc>
        <w:tc>
          <w:tcPr>
            <w:tcW w:type="dxa" w:w="1400"/>
            <w:tcMar>
              <w:top w:type="dxa" w:w="60"/>
              <w:left w:type="dxa" w:w="100"/>
              <w:bottom w:type="dxa" w:w="60"/>
              <w:right w:type="dxa" w:w="100"/>
            </w:tcMar>
            <w:vAlign w:val="center"/>
          </w:tcPr>
          <w:p>
            <w:pPr>
              <w:spacing w:after="0"/>
              <w:jc w:val="center"/>
            </w:pPr>
            <w:r>
              <w:rPr>
                <w:b w:val="false"/>
                <w:bCs w:val="false"/>
                <w:sz w:val="19"/>
                <w:szCs w:val="19"/>
              </w:rPr>
              <w:t xml:space="preserve">10 %</w:t>
            </w:r>
          </w:p>
        </w:tc>
        <w:tc>
          <w:tcPr>
            <w:tcW w:type="dxa" w:w="1700"/>
            <w:tcMar>
              <w:top w:type="dxa" w:w="60"/>
              <w:left w:type="dxa" w:w="100"/>
              <w:bottom w:type="dxa" w:w="60"/>
              <w:right w:type="dxa" w:w="100"/>
            </w:tcMar>
            <w:vAlign w:val="center"/>
          </w:tcPr>
          <w:p>
            <w:pPr>
              <w:spacing w:after="0"/>
              <w:jc w:val="center"/>
            </w:pPr>
            <w:r>
              <w:rPr>
                <w:b w:val="false"/>
                <w:bCs w:val="false"/>
                <w:sz w:val="19"/>
                <w:szCs w:val="19"/>
              </w:rPr>
              <w:t xml:space="preserve">627,44 × 0,90</w:t>
            </w:r>
          </w:p>
        </w:tc>
        <w:tc>
          <w:tcPr>
            <w:tcW w:type="dxa" w:w="1400"/>
            <w:tcMar>
              <w:top w:type="dxa" w:w="60"/>
              <w:left w:type="dxa" w:w="100"/>
              <w:bottom w:type="dxa" w:w="60"/>
              <w:right w:type="dxa" w:w="100"/>
            </w:tcMar>
            <w:vAlign w:val="center"/>
          </w:tcPr>
          <w:p>
            <w:pPr>
              <w:spacing w:after="0"/>
              <w:jc w:val="center"/>
            </w:pPr>
            <w:r>
              <w:rPr>
                <w:b w:val="false"/>
                <w:bCs w:val="false"/>
                <w:sz w:val="19"/>
                <w:szCs w:val="19"/>
              </w:rPr>
              <w:t xml:space="preserve">564,70</w:t>
            </w:r>
          </w:p>
        </w:tc>
        <w:tc>
          <w:tcPr>
            <w:tcW w:type="dxa" w:w="1550"/>
            <w:tcMar>
              <w:top w:type="dxa" w:w="60"/>
              <w:left w:type="dxa" w:w="100"/>
              <w:bottom w:type="dxa" w:w="60"/>
              <w:right w:type="dxa" w:w="100"/>
            </w:tcMar>
            <w:vAlign w:val="center"/>
          </w:tcPr>
          <w:p>
            <w:pPr>
              <w:spacing w:after="0"/>
              <w:jc w:val="center"/>
            </w:pPr>
            <w:r>
              <w:rPr>
                <w:b w:val="false"/>
                <w:bCs w:val="false"/>
                <w:sz w:val="19"/>
                <w:szCs w:val="19"/>
              </w:rPr>
              <w:t xml:space="preserve">Oui</w:t>
            </w:r>
          </w:p>
        </w:tc>
        <w:tc>
          <w:tcPr>
            <w:tcW w:type="dxa" w:w="1550"/>
            <w:tcMar>
              <w:top w:type="dxa" w:w="60"/>
              <w:left w:type="dxa" w:w="100"/>
              <w:bottom w:type="dxa" w:w="60"/>
              <w:right w:type="dxa" w:w="100"/>
            </w:tcMar>
            <w:vAlign w:val="center"/>
          </w:tcPr>
          <w:p>
            <w:pPr>
              <w:spacing w:after="0"/>
              <w:jc w:val="center"/>
            </w:pPr>
            <w:r>
              <w:rPr>
                <w:b w:val="false"/>
                <w:bCs w:val="false"/>
                <w:sz w:val="19"/>
                <w:szCs w:val="19"/>
              </w:rPr>
              <w:t xml:space="preserve">33,50 %</w:t>
            </w:r>
          </w:p>
        </w:tc>
      </w:tr>
    </w:tbl>
    <w:p>
      <w:pPr>
        <w:spacing w:after="140" w:before="160" w:line="276"/>
        <w:jc w:val="both"/>
      </w:pPr>
      <w:r>
        <w:rPr>
          <w:b/>
          <w:bCs/>
        </w:rPr>
        <w:t xml:space="preserve">Étape 4 – Vérification pour la tranche retenue.</w:t>
      </w:r>
      <w:r>
        <w:rPr>
          <w:b w:val="false"/>
          <w:bCs w:val="false"/>
        </w:rPr>
        <w:t xml:space="preserve"> Marge unitaire = 849,17 − 577,24 = 271,93 € ; taux de marque = 271,93 ÷ 849,17 = </w:t>
      </w:r>
      <w:r>
        <w:rPr>
          <w:b/>
          <w:bCs/>
        </w:rPr>
        <w:t xml:space="preserve">32,02 % ≥ 32 %</w:t>
      </w:r>
      <w:r>
        <w:rPr>
          <w:b w:val="false"/>
          <w:bCs w:val="false"/>
        </w:rPr>
        <w:t xml:space="preserve"> : les deux impératifs sont respectés dès la tranche « 8 à 12 unités ».</w:t>
      </w:r>
    </w:p>
    <w:p>
      <w:pPr>
        <w:spacing w:after="140" w:before="0" w:line="276"/>
        <w:jc w:val="both"/>
      </w:pPr>
      <w:r>
        <w:rPr>
          <w:b/>
          <w:bCs/>
        </w:rPr>
        <w:t xml:space="preserve">Conclusion</w:t>
      </w:r>
      <w:r>
        <w:rPr>
          <w:b w:val="false"/>
          <w:bCs w:val="false"/>
        </w:rPr>
        <w:t xml:space="preserve"> : pour respecter simultanément le prix conseillé (1 019 € TTC) et un taux de marque d’au moins 32 %, Thomas Martin doit commander </w:t>
      </w:r>
      <w:r>
        <w:rPr>
          <w:b/>
          <w:bCs/>
        </w:rPr>
        <w:t xml:space="preserve">au minimum 8 ailes « Top One »</w:t>
      </w:r>
      <w:r>
        <w:rPr>
          <w:b w:val="false"/>
          <w:bCs w:val="false"/>
        </w:rPr>
        <w:t xml:space="preserve"> (la commande de plus de 12 unités respecte aussi la contrainte, mais gonfle inutilement le stock d’un produit non encore testé).</w:t>
      </w:r>
    </w:p>
    <w:p>
      <w:pPr>
        <w:pStyle w:val="Heading3"/>
        <w:spacing w:after="100" w:before="240"/>
      </w:pPr>
      <w:r>
        <w:rPr>
          <w:b/>
          <w:bCs/>
          <w:color w:val="C55A11"/>
          <w:sz w:val="23"/>
          <w:szCs w:val="23"/>
        </w:rPr>
        <w:t xml:space="preserve">Interprétation du résultat et conséquences sur la gestion du magasin</w:t>
      </w:r>
    </w:p>
    <w:p>
      <w:pPr>
        <w:spacing w:after="140" w:before="0" w:line="276"/>
        <w:jc w:val="both"/>
      </w:pPr>
      <w:r>
        <w:rPr>
          <w:b w:val="false"/>
          <w:bCs w:val="false"/>
        </w:rPr>
        <w:t xml:space="preserve">Le résultat est </w:t>
      </w:r>
      <w:r>
        <w:rPr>
          <w:b/>
          <w:bCs/>
        </w:rPr>
        <w:t xml:space="preserve">favorable sur le plan commercial</w:t>
      </w:r>
      <w:r>
        <w:rPr>
          <w:b w:val="false"/>
          <w:bCs w:val="false"/>
        </w:rPr>
        <w:t xml:space="preserve"> (le référencement est possible aux conditions voulues) mais </w:t>
      </w:r>
      <w:r>
        <w:rPr>
          <w:b/>
          <w:bCs/>
        </w:rPr>
        <w:t xml:space="preserve">contraignant sur le plan de la gestion</w:t>
      </w:r>
      <w:r>
        <w:rPr>
          <w:b w:val="false"/>
          <w:bCs w:val="false"/>
        </w:rPr>
        <w:t xml:space="preserve"> : la politique de remise du fournisseur impose un volume minimal. Conséquences à développer :</w:t>
      </w:r>
    </w:p>
    <w:p>
      <w:pPr>
        <w:pStyle w:val="ListParagraph"/>
        <w:numPr>
          <w:ilvl w:val="0"/>
          <w:numId w:val="2"/>
        </w:numPr>
        <w:spacing w:after="80" w:line="276"/>
        <w:jc w:val="both"/>
      </w:pPr>
      <w:r>
        <w:rPr>
          <w:b/>
          <w:bCs/>
        </w:rPr>
        <w:t xml:space="preserve">Immobilisation financière</w:t>
      </w:r>
      <w:r>
        <w:rPr>
          <w:b w:val="false"/>
          <w:bCs w:val="false"/>
        </w:rPr>
        <w:t xml:space="preserve"> : 8 ailes × 577,24 € = </w:t>
      </w:r>
      <w:r>
        <w:rPr>
          <w:b/>
          <w:bCs/>
        </w:rPr>
        <w:t xml:space="preserve">4 617,92 € HT</w:t>
      </w:r>
      <w:r>
        <w:rPr>
          <w:b w:val="false"/>
          <w:bCs w:val="false"/>
        </w:rPr>
        <w:t xml:space="preserve"> décaissés par commande (5 541,50 € TTC), pour un produit nouveau dont la rotation est inconnue. Impact direct sur le besoin en fonds de roulement et la trésorerie.</w:t>
      </w:r>
    </w:p>
    <w:p>
      <w:pPr>
        <w:pStyle w:val="ListParagraph"/>
        <w:numPr>
          <w:ilvl w:val="0"/>
          <w:numId w:val="2"/>
        </w:numPr>
        <w:spacing w:after="80" w:line="276"/>
        <w:jc w:val="both"/>
      </w:pPr>
      <w:r>
        <w:rPr>
          <w:b/>
          <w:bCs/>
        </w:rPr>
        <w:t xml:space="preserve">Coût de possession du stock</w:t>
      </w:r>
      <w:r>
        <w:rPr>
          <w:b w:val="false"/>
          <w:bCs w:val="false"/>
        </w:rPr>
        <w:t xml:space="preserve"> : stockage, assurance, risque de démarque ; une aile est un produit technique et saisonnier, exposé au </w:t>
      </w:r>
      <w:r>
        <w:rPr>
          <w:b/>
          <w:bCs/>
        </w:rPr>
        <w:t xml:space="preserve">risque d’obsolescence</w:t>
      </w:r>
      <w:r>
        <w:rPr>
          <w:b w:val="false"/>
          <w:bCs w:val="false"/>
        </w:rPr>
        <w:t xml:space="preserve"> (nouvelles collections) et de mévente, qui obligerait à solder et détruirait la marge visée.</w:t>
      </w:r>
    </w:p>
    <w:p>
      <w:pPr>
        <w:pStyle w:val="ListParagraph"/>
        <w:numPr>
          <w:ilvl w:val="0"/>
          <w:numId w:val="2"/>
        </w:numPr>
        <w:spacing w:after="80" w:line="276"/>
        <w:jc w:val="both"/>
      </w:pPr>
      <w:r>
        <w:rPr>
          <w:b/>
          <w:bCs/>
        </w:rPr>
        <w:t xml:space="preserve">Contrainte d’espace</w:t>
      </w:r>
      <w:r>
        <w:rPr>
          <w:b w:val="false"/>
          <w:bCs w:val="false"/>
        </w:rPr>
        <w:t xml:space="preserve"> : le magasin ne fait que 400 m² ; stocker 8 à 12 ailes mobilise de la surface de réserve et de linéaire.</w:t>
      </w:r>
    </w:p>
    <w:p>
      <w:pPr>
        <w:pStyle w:val="ListParagraph"/>
        <w:numPr>
          <w:ilvl w:val="0"/>
          <w:numId w:val="2"/>
        </w:numPr>
        <w:spacing w:after="80" w:line="276"/>
        <w:jc w:val="both"/>
      </w:pPr>
      <w:r>
        <w:rPr>
          <w:b/>
          <w:bCs/>
        </w:rPr>
        <w:t xml:space="preserve">Éléments favorables à ne pas oublier</w:t>
      </w:r>
      <w:r>
        <w:rPr>
          <w:b w:val="false"/>
          <w:bCs w:val="false"/>
        </w:rPr>
        <w:t xml:space="preserve"> : frais de transport offerts (pas de coût de commande additionnel), marque « FANTASTIC » élue marque de l’année et recherchée par les passionnés (annexes 2 et 3), univers sports nautiques en croissance (question 1.1) : le risque de mévente est atténué par la demande.</w:t>
      </w:r>
    </w:p>
    <w:p>
      <w:pPr>
        <w:pStyle w:val="ListParagraph"/>
        <w:numPr>
          <w:ilvl w:val="0"/>
          <w:numId w:val="2"/>
        </w:numPr>
        <w:spacing w:after="80" w:line="276"/>
        <w:jc w:val="both"/>
      </w:pPr>
      <w:r>
        <w:rPr>
          <w:b/>
          <w:bCs/>
        </w:rPr>
        <w:t xml:space="preserve">Décision managériale</w:t>
      </w:r>
      <w:r>
        <w:rPr>
          <w:b w:val="false"/>
          <w:bCs w:val="false"/>
        </w:rPr>
        <w:t xml:space="preserve"> : commander 8 unités (bas de la tranche) pour limiter le risque, suivre la rotation du stock sur les premières semaines, puis recommander par 8 si le succès se confirme — voire par plus de 12 en haute saison pour gagner 1,5 point de marque supplémentaire.</w:t>
      </w:r>
    </w:p>
    <w:p>
      <w:pPr>
        <w:pStyle w:val="Heading3"/>
        <w:spacing w:after="100" w:before="240"/>
      </w:pPr>
      <w:r>
        <w:rPr>
          <w:b/>
          <w:bCs/>
          <w:color w:val="C55A11"/>
          <w:sz w:val="23"/>
          <w:szCs w:val="23"/>
        </w:rPr>
        <w:t xml:space="preserve">Réponse rédigée attendue (modèle de copie)</w:t>
      </w:r>
    </w:p>
    <w:p>
      <w:pPr>
        <w:spacing w:after="140" w:before="0" w:line="276"/>
        <w:jc w:val="both"/>
      </w:pPr>
      <w:r>
        <w:rPr>
          <w:b w:val="false"/>
          <w:bCs w:val="false"/>
        </w:rPr>
        <w:t xml:space="preserve">« Le prix de vente conseillé étant de 1 019 € TTC, le prix de vente HT s’élève à 1 019 ÷ 1,20 = 849,17 €. Pour dégager un taux de marque de 32 %, le coût d’achat unitaire ne doit pas excéder 849,17 × 0,68 = 577,43 €.</w:t>
      </w:r>
    </w:p>
    <w:p>
      <w:pPr>
        <w:spacing w:after="140" w:before="0" w:line="276"/>
        <w:jc w:val="both"/>
      </w:pPr>
      <w:r>
        <w:rPr>
          <w:b w:val="false"/>
          <w:bCs w:val="false"/>
        </w:rPr>
        <w:t xml:space="preserve">Le prix catalogue de 713 € HT bénéficie d’une remise de base de 12 % (713 × 0,88 = 627,44 €), puis d’une remise supplémentaire calculée en cascade selon la quantité : 608,62 € (moins de 4 unités), 596,07 € (4 à 7), 577,24 € (8 à 12) et 564,70 € (plus de 12). Seules les commandes d’au moins 8 unités permettent d’atteindre un prix net inférieur ou égal à 577,43 € : pour 8 à 12 unités, la marge unitaire ressort à 849,17 − 577,24 = 271,93 €, soit un taux de marque de 32,02 %, conforme à l’impératif.</w:t>
      </w:r>
    </w:p>
    <w:p>
      <w:pPr>
        <w:spacing w:after="140" w:before="0" w:line="276"/>
        <w:jc w:val="both"/>
      </w:pPr>
      <w:r>
        <w:rPr>
          <w:b w:val="false"/>
          <w:bCs w:val="false"/>
        </w:rPr>
        <w:t xml:space="preserve">Thomas Martin devra donc commander au minimum 8 ailes par commande. Ce volume imposé a des conséquences sur la gestion du magasin : une immobilisation d’environ 4 618 € HT par commande qui pèse sur la trésorerie, un coût de possession du stock accru et un risque de mévente sur un produit nouveau, dans un point de vente de 400 m² où l’espace de réserve est limité. Ces risques sont toutefois atténués par la gratuité du transport, la notoriété de la marque FANTASTIC et le dynamisme de l’univers sports nautiques : une première commande de 8 unités, suivie d’un contrôle de la rotation du stock, paraît la décision la plus prudente. »</w:t>
      </w:r>
    </w:p>
    <w:p>
      <w:pPr>
        <w:pStyle w:val="Heading3"/>
        <w:spacing w:after="100" w:before="240"/>
      </w:pPr>
      <w:r>
        <w:rPr>
          <w:b/>
          <w:bCs/>
          <w:color w:val="C55A11"/>
          <w:sz w:val="23"/>
          <w:szCs w:val="23"/>
        </w:rPr>
        <w:t xml:space="preserve">Conseils du correcteur</w:t>
      </w:r>
    </w:p>
    <w:p>
      <w:pPr>
        <w:pBdr>
          <w:left w:val="single" w:color="C55A11" w:sz="16"/>
        </w:pBdr>
        <w:shd w:fill="FBF2E4" w:val="clear"/>
        <w:spacing w:after="140" w:before="100" w:line="276"/>
        <w:ind w:left="240" w:right="240"/>
        <w:jc w:val="both"/>
      </w:pPr>
      <w:r>
        <w:rPr>
          <w:b w:val="false"/>
          <w:bCs w:val="false"/>
          <w:i/>
          <w:iCs/>
          <w:color w:val="3B3B3B"/>
        </w:rPr>
        <w:t xml:space="preserve">Même si votre résultat numérique est juste, vous perdrez une partie des points si vous ne répondez pas à la seconde partie de la question — les conséquences sur la gestion. Relisez toujours la consigne après vos calculs : ici, elle contient explicitement deux verbes, « évaluez » et « identifiez ».</w:t>
      </w:r>
    </w:p>
    <w:p>
      <w:pPr>
        <w:pStyle w:val="ListParagraph"/>
        <w:numPr>
          <w:ilvl w:val="0"/>
          <w:numId w:val="2"/>
        </w:numPr>
        <w:spacing w:after="80" w:line="276"/>
        <w:jc w:val="both"/>
      </w:pPr>
      <w:r>
        <w:rPr>
          <w:b/>
          <w:bCs/>
        </w:rPr>
        <w:t xml:space="preserve">Ce qui rapporte des points</w:t>
      </w:r>
      <w:r>
        <w:rPr>
          <w:b w:val="false"/>
          <w:bCs w:val="false"/>
        </w:rPr>
        <w:t xml:space="preserve"> : la conversion TTC → HT posée explicitement, la formule du coût d’achat maximal (× 0,68), le calcul en cascade tranche par tranche, la vérification du taux de marque obtenu, et au moins trois conséquences de gestion argumentées.</w:t>
      </w:r>
    </w:p>
    <w:p>
      <w:pPr>
        <w:pStyle w:val="ListParagraph"/>
        <w:numPr>
          <w:ilvl w:val="0"/>
          <w:numId w:val="2"/>
        </w:numPr>
        <w:spacing w:after="80" w:line="276"/>
        <w:jc w:val="both"/>
      </w:pPr>
      <w:r>
        <w:rPr>
          <w:b/>
          <w:bCs/>
        </w:rPr>
        <w:t xml:space="preserve">Mots-clés professionnels</w:t>
      </w:r>
      <w:r>
        <w:rPr>
          <w:b w:val="false"/>
          <w:bCs w:val="false"/>
        </w:rPr>
        <w:t xml:space="preserve"> : taux de marque, remises en cascade, prix net, coût de possession du stock, rotation des stocks, besoin en fonds de roulement, risque de mévente, référencement.</w:t>
      </w:r>
    </w:p>
    <w:p>
      <w:pPr>
        <w:pStyle w:val="ListParagraph"/>
        <w:numPr>
          <w:ilvl w:val="0"/>
          <w:numId w:val="2"/>
        </w:numPr>
        <w:spacing w:after="80" w:line="276"/>
        <w:jc w:val="both"/>
      </w:pPr>
      <w:r>
        <w:rPr>
          <w:b/>
          <w:bCs/>
        </w:rPr>
        <w:t xml:space="preserve">Temps conseillé</w:t>
      </w:r>
      <w:r>
        <w:rPr>
          <w:b w:val="false"/>
          <w:bCs w:val="false"/>
        </w:rPr>
        <w:t xml:space="preserve"> : 30 minutes.</w:t>
      </w:r>
    </w:p>
    <w:p>
      <w:pPr>
        <w:pStyle w:val="Heading3"/>
        <w:spacing w:after="100" w:before="240"/>
      </w:pPr>
      <w:r>
        <w:rPr>
          <w:b/>
          <w:bCs/>
          <w:color w:val="C55A11"/>
          <w:sz w:val="23"/>
          <w:szCs w:val="23"/>
        </w:rPr>
        <w:t xml:space="preserve">Les erreurs fréquentes à éviter</w:t>
      </w:r>
    </w:p>
    <w:p>
      <w:pPr>
        <w:pStyle w:val="ListParagraph"/>
        <w:numPr>
          <w:ilvl w:val="0"/>
          <w:numId w:val="2"/>
        </w:numPr>
        <w:spacing w:after="80" w:line="276"/>
        <w:jc w:val="both"/>
      </w:pPr>
      <w:r>
        <w:rPr>
          <w:b w:val="false"/>
          <w:bCs w:val="false"/>
        </w:rPr>
        <w:t xml:space="preserve">Calculer la marge sur le prix </w:t>
      </w:r>
      <w:r>
        <w:rPr>
          <w:b/>
          <w:bCs/>
        </w:rPr>
        <w:t xml:space="preserve">TTC</w:t>
      </w:r>
      <w:r>
        <w:rPr>
          <w:b w:val="false"/>
          <w:bCs w:val="false"/>
        </w:rPr>
        <w:t xml:space="preserve"> (le taux de marque se calcule toujours sur le PV HT) ;</w:t>
      </w:r>
    </w:p>
    <w:p>
      <w:pPr>
        <w:pStyle w:val="ListParagraph"/>
        <w:numPr>
          <w:ilvl w:val="0"/>
          <w:numId w:val="2"/>
        </w:numPr>
        <w:spacing w:after="80" w:line="276"/>
        <w:jc w:val="both"/>
      </w:pPr>
      <w:r>
        <w:rPr>
          <w:b w:val="false"/>
          <w:bCs w:val="false"/>
        </w:rPr>
        <w:t xml:space="preserve">Additionner les remises (12 % + 8 % = 20 %) au lieu de les appliquer </w:t>
      </w:r>
      <w:r>
        <w:rPr>
          <w:b/>
          <w:bCs/>
        </w:rPr>
        <w:t xml:space="preserve">en cascade</w:t>
      </w:r>
      <w:r>
        <w:rPr>
          <w:b w:val="false"/>
          <w:bCs w:val="false"/>
        </w:rPr>
        <w:t xml:space="preserve"> ;</w:t>
      </w:r>
    </w:p>
    <w:p>
      <w:pPr>
        <w:pStyle w:val="ListParagraph"/>
        <w:numPr>
          <w:ilvl w:val="0"/>
          <w:numId w:val="2"/>
        </w:numPr>
        <w:spacing w:after="80" w:line="276"/>
        <w:jc w:val="both"/>
      </w:pPr>
      <w:r>
        <w:rPr>
          <w:b w:val="false"/>
          <w:bCs w:val="false"/>
        </w:rPr>
        <w:t xml:space="preserve">Confondre taux de marque et taux de marge : avec un taux de </w:t>
      </w:r>
      <w:r>
        <w:rPr>
          <w:b/>
          <w:bCs/>
        </w:rPr>
        <w:t xml:space="preserve">marge</w:t>
      </w:r>
      <w:r>
        <w:rPr>
          <w:b w:val="false"/>
          <w:bCs w:val="false"/>
        </w:rPr>
        <w:t xml:space="preserve"> de 32 %, le coût d’achat maximal serait 849,17 ÷ 1,32 = 643,31 €, et la conclusion serait différente (toutes les tranches conviendraient) — c’est l’erreur la plus pénalisante du sujet ;</w:t>
      </w:r>
    </w:p>
    <w:p>
      <w:pPr>
        <w:pStyle w:val="ListParagraph"/>
        <w:numPr>
          <w:ilvl w:val="0"/>
          <w:numId w:val="2"/>
        </w:numPr>
        <w:spacing w:after="80" w:line="276"/>
        <w:jc w:val="both"/>
      </w:pPr>
      <w:r>
        <w:rPr>
          <w:b w:val="false"/>
          <w:bCs w:val="false"/>
        </w:rPr>
        <w:t xml:space="preserve">Oublier que la remise de 12 % s’applique </w:t>
      </w:r>
      <w:r>
        <w:rPr>
          <w:b/>
          <w:bCs/>
        </w:rPr>
        <w:t xml:space="preserve">à toute commande</w:t>
      </w:r>
      <w:r>
        <w:rPr>
          <w:b w:val="false"/>
          <w:bCs w:val="false"/>
        </w:rPr>
        <w:t xml:space="preserve">, en plus de la remise quantitative ;</w:t>
      </w:r>
    </w:p>
    <w:p>
      <w:pPr>
        <w:pStyle w:val="ListParagraph"/>
        <w:numPr>
          <w:ilvl w:val="0"/>
          <w:numId w:val="2"/>
        </w:numPr>
        <w:spacing w:after="80" w:line="276"/>
        <w:jc w:val="both"/>
      </w:pPr>
      <w:r>
        <w:rPr>
          <w:b w:val="false"/>
          <w:bCs w:val="false"/>
        </w:rPr>
        <w:t xml:space="preserve">Conclure « il faut commander 8 unités » sans préciser « au minimum » ni discuter la tranche supérieure ;</w:t>
      </w:r>
    </w:p>
    <w:p>
      <w:pPr>
        <w:pStyle w:val="ListParagraph"/>
        <w:numPr>
          <w:ilvl w:val="0"/>
          <w:numId w:val="2"/>
        </w:numPr>
        <w:spacing w:after="80" w:line="276"/>
        <w:jc w:val="both"/>
      </w:pPr>
      <w:r>
        <w:rPr>
          <w:b w:val="false"/>
          <w:bCs w:val="false"/>
        </w:rPr>
        <w:t xml:space="preserve">Traiter les conséquences de gestion en une demi-phrase (« cela augmente le stock ») sans mobiliser trésorerie, coût de possession, risque et espace.</w:t>
      </w:r>
    </w:p>
    <w:p>
      <w:pPr>
        <w:pStyle w:val="Heading3"/>
        <w:spacing w:after="100" w:before="240"/>
      </w:pPr>
      <w:r>
        <w:rPr>
          <w:b/>
          <w:bCs/>
          <w:color w:val="C55A11"/>
          <w:sz w:val="23"/>
          <w:szCs w:val="23"/>
        </w:rPr>
        <w:t xml:space="preserve">Exemple complémentaire pour vous entraîner</w:t>
      </w:r>
    </w:p>
    <w:p>
      <w:pPr>
        <w:spacing w:after="140" w:before="0" w:line="276"/>
        <w:jc w:val="both"/>
      </w:pPr>
      <w:r>
        <w:rPr>
          <w:b w:val="false"/>
          <w:bCs w:val="false"/>
        </w:rPr>
        <w:t xml:space="preserve">Un fournisseur propose un article à 240 € HT, remise de base 10 %, remise supplémentaire de 6 % à partir de 20 unités. Le prix de vente public visé est de 360 € TTC (TVA 20 %). Quel taux de marque obtient-on en commandant 20 unités ?</w:t>
      </w:r>
    </w:p>
    <w:p>
      <w:pPr>
        <w:spacing w:after="140" w:before="0" w:line="276"/>
        <w:jc w:val="both"/>
      </w:pPr>
      <w:r>
        <w:rPr>
          <w:b/>
          <w:bCs/>
        </w:rPr>
        <w:t xml:space="preserve">Corrigé express</w:t>
      </w:r>
      <w:r>
        <w:rPr>
          <w:b w:val="false"/>
          <w:bCs w:val="false"/>
        </w:rPr>
        <w:t xml:space="preserve"> : PV HT = 360 ÷ 1,20 = 300 €. Prix net = 240 × 0,90 × 0,94 = 203,04 €. Marge = 96,96 € ; taux de marque = 96,96 ÷ 300 = </w:t>
      </w:r>
      <w:r>
        <w:rPr>
          <w:b/>
          <w:bCs/>
        </w:rPr>
        <w:t xml:space="preserve">32,32 %</w:t>
      </w:r>
      <w:r>
        <w:rPr>
          <w:b w:val="false"/>
          <w:bCs w:val="false"/>
        </w:rPr>
        <w:t xml:space="preserve">. Même logique, mêmes réflexes : HT d’abord, cascade ensuite.</w:t>
      </w:r>
    </w:p>
    <w:p>
      <w:pPr>
        <w:pStyle w:val="Heading3"/>
        <w:spacing w:after="100" w:before="240"/>
      </w:pPr>
      <w:r>
        <w:rPr>
          <w:b/>
          <w:bCs/>
          <w:color w:val="C55A11"/>
          <w:sz w:val="23"/>
          <w:szCs w:val="23"/>
        </w:rPr>
        <w:t xml:space="preserve">À retenir pour l’examen</w:t>
      </w:r>
    </w:p>
    <w:p>
      <w:pPr>
        <w:pBdr>
          <w:left w:val="single" w:color="375623" w:sz="16"/>
        </w:pBdr>
        <w:shd w:fill="E8F1E4" w:val="clear"/>
        <w:spacing w:after="140" w:before="100" w:line="276"/>
        <w:ind w:left="240" w:right="240"/>
        <w:jc w:val="both"/>
      </w:pPr>
      <w:r>
        <w:rPr>
          <w:b/>
          <w:bCs/>
        </w:rPr>
        <w:t xml:space="preserve">Trois réflexes indissociables</w:t>
      </w:r>
      <w:r>
        <w:rPr>
          <w:b w:val="false"/>
          <w:bCs w:val="false"/>
        </w:rPr>
        <w:t xml:space="preserve"> : (1) tout calcul de marge se fait en HT ; (2) coût d’achat maximal = PV HT × (1 − taux de marque) ; (3) les remises se calculent en cascade. Et une question qui contient deux verbes de consigne appelle deux réponses.</w:t>
      </w:r>
    </w:p>
    <w:p>
      <w:r>
        <w:br w:type="page"/>
      </w:r>
    </w:p>
    <w:p>
      <w:pPr>
        <w:pStyle w:val="Heading2"/>
        <w:pBdr>
          <w:bottom w:val="single" w:color="2E5AA0" w:sz="6"/>
        </w:pBdr>
        <w:spacing w:after="140" w:before="300"/>
      </w:pPr>
      <w:r>
        <w:rPr>
          <w:b/>
          <w:bCs/>
          <w:color w:val="1F3864"/>
          <w:sz w:val="26"/>
          <w:szCs w:val="26"/>
        </w:rPr>
        <w:t xml:space="preserve">Synthèse du dossier 1 – ce qu’il faut emporter</w:t>
      </w:r>
    </w:p>
    <w:p>
      <w:pPr>
        <w:pStyle w:val="Heading3"/>
        <w:spacing w:after="100" w:before="240"/>
      </w:pPr>
      <w:r>
        <w:rPr>
          <w:b/>
          <w:bCs/>
          <w:color w:val="C55A11"/>
          <w:sz w:val="23"/>
          <w:szCs w:val="23"/>
        </w:rPr>
        <w:t xml:space="preserve">Les notions essentielles</w:t>
      </w:r>
    </w:p>
    <w:p>
      <w:pPr>
        <w:pStyle w:val="ListParagraph"/>
        <w:numPr>
          <w:ilvl w:val="0"/>
          <w:numId w:val="2"/>
        </w:numPr>
        <w:spacing w:after="80" w:line="276"/>
        <w:jc w:val="both"/>
      </w:pPr>
      <w:r>
        <w:rPr>
          <w:b w:val="false"/>
          <w:bCs w:val="false"/>
        </w:rPr>
        <w:t xml:space="preserve">Le tableau de bord : définition, rôle de pilotage, choix d’indicateurs pertinents ;</w:t>
      </w:r>
    </w:p>
    <w:p>
      <w:pPr>
        <w:pStyle w:val="ListParagraph"/>
        <w:numPr>
          <w:ilvl w:val="0"/>
          <w:numId w:val="2"/>
        </w:numPr>
        <w:spacing w:after="80" w:line="276"/>
        <w:jc w:val="both"/>
      </w:pPr>
      <w:r>
        <w:rPr>
          <w:b w:val="false"/>
          <w:bCs w:val="false"/>
        </w:rPr>
        <w:t xml:space="preserve">La distinction taux de marque / taux de marge, et la marge commerciale en euros ;</w:t>
      </w:r>
    </w:p>
    <w:p>
      <w:pPr>
        <w:pStyle w:val="ListParagraph"/>
        <w:numPr>
          <w:ilvl w:val="0"/>
          <w:numId w:val="2"/>
        </w:numPr>
        <w:spacing w:after="80" w:line="276"/>
        <w:jc w:val="both"/>
      </w:pPr>
      <w:r>
        <w:rPr>
          <w:b w:val="false"/>
          <w:bCs w:val="false"/>
        </w:rPr>
        <w:t xml:space="preserve">Le mécanisme HT / TTC et les remises en cascade ;</w:t>
      </w:r>
    </w:p>
    <w:p>
      <w:pPr>
        <w:pStyle w:val="ListParagraph"/>
        <w:numPr>
          <w:ilvl w:val="0"/>
          <w:numId w:val="2"/>
        </w:numPr>
        <w:spacing w:after="80" w:line="276"/>
        <w:jc w:val="both"/>
      </w:pPr>
      <w:r>
        <w:rPr>
          <w:b w:val="false"/>
          <w:bCs w:val="false"/>
        </w:rPr>
        <w:t xml:space="preserve">Le lien entre conditions d’achat, quantités commandées et gestion des stocks.</w:t>
      </w:r>
    </w:p>
    <w:p>
      <w:pPr>
        <w:pStyle w:val="Heading3"/>
        <w:spacing w:after="100" w:before="240"/>
      </w:pPr>
      <w:r>
        <w:rPr>
          <w:b/>
          <w:bCs/>
          <w:color w:val="C55A11"/>
          <w:sz w:val="23"/>
          <w:szCs w:val="23"/>
        </w:rPr>
        <w:t xml:space="preserve">Les formules à connaître par cœur</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Taux d’évolution = (Vₐ − V_d) ÷ V_d × 100    •    Taux de marque = Marge ÷ PV HT    •    Taux de marge = Marge ÷ Coût d’achat HT</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PV HT = PV TTC ÷ 1,20    •    Coût d’achat maxi = PV HT × (1 − taux de marque)    •    Prix net = Prix × (1 − r₁) × (1 − r₂)</w:t>
      </w:r>
    </w:p>
    <w:p>
      <w:pPr>
        <w:pStyle w:val="Heading3"/>
        <w:spacing w:after="100" w:before="240"/>
      </w:pPr>
      <w:r>
        <w:rPr>
          <w:b/>
          <w:bCs/>
          <w:color w:val="C55A11"/>
          <w:sz w:val="23"/>
          <w:szCs w:val="23"/>
        </w:rPr>
        <w:t xml:space="preserve">Les réflexes du jour J</w:t>
      </w:r>
    </w:p>
    <w:p>
      <w:pPr>
        <w:pStyle w:val="ListParagraph"/>
        <w:numPr>
          <w:ilvl w:val="0"/>
          <w:numId w:val="2"/>
        </w:numPr>
        <w:spacing w:after="80" w:line="276"/>
        <w:jc w:val="both"/>
      </w:pPr>
      <w:r>
        <w:rPr>
          <w:b w:val="false"/>
          <w:bCs w:val="false"/>
        </w:rPr>
        <w:t xml:space="preserve">Repérer les deux verbes de consigne et y répondre séparément ;</w:t>
      </w:r>
    </w:p>
    <w:p>
      <w:pPr>
        <w:pStyle w:val="ListParagraph"/>
        <w:numPr>
          <w:ilvl w:val="0"/>
          <w:numId w:val="2"/>
        </w:numPr>
        <w:spacing w:after="80" w:line="276"/>
        <w:jc w:val="both"/>
      </w:pPr>
      <w:r>
        <w:rPr>
          <w:b w:val="false"/>
          <w:bCs w:val="false"/>
        </w:rPr>
        <w:t xml:space="preserve">Poser une ligne de calcul type, indiquer les unités, arrondir à deux décimales ;</w:t>
      </w:r>
    </w:p>
    <w:p>
      <w:pPr>
        <w:pStyle w:val="ListParagraph"/>
        <w:numPr>
          <w:ilvl w:val="0"/>
          <w:numId w:val="2"/>
        </w:numPr>
        <w:spacing w:after="80" w:line="276"/>
        <w:jc w:val="both"/>
      </w:pPr>
      <w:r>
        <w:rPr>
          <w:b w:val="false"/>
          <w:bCs w:val="false"/>
        </w:rPr>
        <w:t xml:space="preserve">Toujours terminer par une phrase de conclusion managériale.</w:t>
      </w:r>
    </w:p>
    <w:p>
      <w:pPr>
        <w:pStyle w:val="Heading3"/>
        <w:spacing w:after="100" w:before="240"/>
      </w:pPr>
      <w:r>
        <w:rPr>
          <w:b/>
          <w:bCs/>
          <w:color w:val="C55A11"/>
          <w:sz w:val="23"/>
          <w:szCs w:val="23"/>
        </w:rPr>
        <w:t xml:space="preserve">Questions d’entraînement</w:t>
      </w:r>
    </w:p>
    <w:p>
      <w:pPr>
        <w:pStyle w:val="ListParagraph"/>
        <w:numPr>
          <w:ilvl w:val="0"/>
          <w:numId w:val="2"/>
        </w:numPr>
        <w:spacing w:after="80" w:line="276"/>
        <w:jc w:val="both"/>
      </w:pPr>
      <w:r>
        <w:rPr>
          <w:b w:val="false"/>
          <w:bCs w:val="false"/>
        </w:rPr>
        <w:t xml:space="preserve">Recalculez le tableau de bord en ajoutant l’indicateur « marge au m² » (surface : 400 m²) et commentez.</w:t>
      </w:r>
    </w:p>
    <w:p>
      <w:pPr>
        <w:pStyle w:val="ListParagraph"/>
        <w:numPr>
          <w:ilvl w:val="0"/>
          <w:numId w:val="2"/>
        </w:numPr>
        <w:spacing w:after="80" w:line="276"/>
        <w:jc w:val="both"/>
      </w:pPr>
      <w:r>
        <w:rPr>
          <w:b w:val="false"/>
          <w:bCs w:val="false"/>
        </w:rPr>
        <w:t xml:space="preserve">Quel taux de marque obtiendrait Thomas Martin en commandant 15 ailes « Top One » ? (Réponse : 33,50 %.)</w:t>
      </w:r>
    </w:p>
    <w:p>
      <w:pPr>
        <w:pStyle w:val="ListParagraph"/>
        <w:numPr>
          <w:ilvl w:val="0"/>
          <w:numId w:val="2"/>
        </w:numPr>
        <w:spacing w:after="80" w:line="276"/>
        <w:jc w:val="both"/>
      </w:pPr>
      <w:r>
        <w:rPr>
          <w:b w:val="false"/>
          <w:bCs w:val="false"/>
        </w:rPr>
        <w:t xml:space="preserve">Si SFA supprimait la remise de base de 12 %, quelle quantité minimale faudrait-il commander pour conserver 32 % de taux de marque ? (Réponse : aucune tranche ne suffirait — le référencement au prix conseillé deviendrait impossible ; il faudrait renégocier ou renoncer au prix conseillé.)</w:t>
      </w:r>
    </w:p>
    <w:p>
      <w:r>
        <w:br w:type="page"/>
      </w:r>
    </w:p>
    <w:p>
      <w:pPr>
        <w:pStyle w:val="Heading1"/>
        <w:pBdr>
          <w:bottom w:val="single" w:color="C55A11" w:sz="8"/>
        </w:pBdr>
        <w:shd w:fill="1F3864" w:val="clear"/>
        <w:spacing w:after="200" w:before="240"/>
        <w:ind w:left="120" w:right="120"/>
        <w:jc w:val="left"/>
      </w:pPr>
      <w:r>
        <w:rPr>
          <w:b/>
          <w:bCs/>
          <w:color w:val="FFFFFF"/>
          <w:sz w:val="30"/>
          <w:szCs w:val="30"/>
        </w:rPr>
        <w:t xml:space="preserve">DOSSIER 2 – L’opération commerciale « Fly Away » sur le pack « Revolution SFA »</w:t>
      </w:r>
    </w:p>
    <w:p>
      <w:pPr>
        <w:spacing w:after="140" w:before="0" w:line="276"/>
        <w:jc w:val="both"/>
      </w:pPr>
      <w:r>
        <w:rPr>
          <w:b/>
          <w:bCs/>
        </w:rPr>
        <w:t xml:space="preserve">Contexte.</w:t>
      </w:r>
      <w:r>
        <w:rPr>
          <w:b w:val="false"/>
          <w:bCs w:val="false"/>
        </w:rPr>
        <w:t xml:space="preserve"> Thomas Martin organise le 18 mai 2024, en partenariat avec SFA, une animation « Fly Away » avec la venue du champion du monde Loïck Gwendal. Objectifs : notoriété des produits SFA et développement des ventes du pack « Revolution SFA » (aile + planche + foil). Le dossier suit la logique complète d’une opération commerciale : </w:t>
      </w:r>
      <w:r>
        <w:rPr>
          <w:b/>
          <w:bCs/>
        </w:rPr>
        <w:t xml:space="preserve">fixer les objectifs</w:t>
      </w:r>
      <w:r>
        <w:rPr>
          <w:b w:val="false"/>
          <w:bCs w:val="false"/>
        </w:rPr>
        <w:t xml:space="preserve"> (2.1), </w:t>
      </w:r>
      <w:r>
        <w:rPr>
          <w:b/>
          <w:bCs/>
        </w:rPr>
        <w:t xml:space="preserve">organiser les approvisionnements</w:t>
      </w:r>
      <w:r>
        <w:rPr>
          <w:b w:val="false"/>
          <w:bCs w:val="false"/>
        </w:rPr>
        <w:t xml:space="preserve"> induits (2.2), </w:t>
      </w:r>
      <w:r>
        <w:rPr>
          <w:b/>
          <w:bCs/>
        </w:rPr>
        <w:t xml:space="preserve">vérifier la rentabilité</w:t>
      </w:r>
      <w:r>
        <w:rPr>
          <w:b w:val="false"/>
          <w:bCs w:val="false"/>
        </w:rPr>
        <w:t xml:space="preserve"> (2.3). Annexes mobilisées : 4 à 9.</w:t>
      </w:r>
    </w:p>
    <w:p>
      <w:pPr>
        <w:pStyle w:val="Heading2"/>
        <w:pBdr>
          <w:bottom w:val="single" w:color="2E5AA0" w:sz="6"/>
        </w:pBdr>
        <w:spacing w:after="140" w:before="300"/>
      </w:pPr>
      <w:r>
        <w:rPr>
          <w:b/>
          <w:bCs/>
          <w:color w:val="1F3864"/>
          <w:sz w:val="26"/>
          <w:szCs w:val="26"/>
        </w:rPr>
        <w:t xml:space="preserve">Question 2.1 – Fixer les objectifs de vente de packs pour mai 2024</w:t>
      </w:r>
    </w:p>
    <w:p>
      <w:pPr>
        <w:pStyle w:val="Heading3"/>
        <w:spacing w:after="100" w:before="240"/>
      </w:pPr>
      <w:r>
        <w:rPr>
          <w:b/>
          <w:bCs/>
          <w:color w:val="C55A11"/>
          <w:sz w:val="23"/>
          <w:szCs w:val="23"/>
        </w:rPr>
        <w:t xml:space="preserve">Ce que la question vous demande</w:t>
      </w:r>
    </w:p>
    <w:p>
      <w:pPr>
        <w:spacing w:after="140" w:before="0" w:line="276"/>
        <w:jc w:val="both"/>
      </w:pPr>
      <w:r>
        <w:rPr>
          <w:b w:val="false"/>
          <w:bCs w:val="false"/>
        </w:rPr>
        <w:t xml:space="preserve">Il s’agit de </w:t>
      </w:r>
      <w:r>
        <w:rPr>
          <w:b/>
          <w:bCs/>
        </w:rPr>
        <w:t xml:space="preserve">prévoir les ventes de packs « Revolution SFA » pour le seul mois de mai 2024</w:t>
      </w:r>
      <w:r>
        <w:rPr>
          <w:b w:val="false"/>
          <w:bCs w:val="false"/>
        </w:rPr>
        <w:t xml:space="preserve">, en combinant trois informations de l’annexe 5 (note de Thomas Martin) : les ventes 2023 (30 packs sur l’année, sans animation), la croissance prévue pour 2024 (+60 %), les coefficients saisonniers mensuels (mai : 1,4), et l’effet propre de l’animation (+4 packs par rapport aux prévisions). La réponse attendue est </w:t>
      </w:r>
      <w:r>
        <w:rPr>
          <w:b/>
          <w:bCs/>
        </w:rPr>
        <w:t xml:space="preserve">un nombre entier de packs</w:t>
      </w:r>
      <w:r>
        <w:rPr>
          <w:b w:val="false"/>
          <w:bCs w:val="false"/>
        </w:rPr>
        <w:t xml:space="preserve">, justifié par un calcul en plusieurs étapes. </w:t>
      </w:r>
      <w:r>
        <w:rPr>
          <w:b/>
          <w:bCs/>
        </w:rPr>
        <w:t xml:space="preserve">Piège principal</w:t>
      </w:r>
      <w:r>
        <w:rPr>
          <w:b w:val="false"/>
          <w:bCs w:val="false"/>
        </w:rPr>
        <w:t xml:space="preserve"> : appliquer le coefficient saisonnier au bon montant (la moyenne mensuelle des ventes prévues 2024, pas les ventes 2023 ni le total annuel).</w:t>
      </w:r>
    </w:p>
    <w:p>
      <w:pPr>
        <w:pStyle w:val="Heading3"/>
        <w:spacing w:after="100" w:before="240"/>
      </w:pPr>
      <w:r>
        <w:rPr>
          <w:b/>
          <w:bCs/>
          <w:color w:val="C55A11"/>
          <w:sz w:val="23"/>
          <w:szCs w:val="23"/>
        </w:rPr>
        <w:t xml:space="preserve">Compétence et notion du référentiel mobilisées</w:t>
      </w:r>
    </w:p>
    <w:tbl>
      <w:tblPr>
        <w:tblW w:type="dxa" w:w="9350"/>
        <w:jc w:val="center"/>
        <w:tblBorders>
          <w:top w:val="single" w:color="auto" w:sz="4"/>
          <w:left w:val="single" w:color="auto" w:sz="4"/>
          <w:bottom w:val="single" w:color="auto" w:sz="4"/>
          <w:right w:val="single" w:color="auto" w:sz="4"/>
          <w:insideH w:val="single" w:color="auto" w:sz="4"/>
          <w:insideV w:val="single" w:color="auto" w:sz="4"/>
        </w:tblBorders>
      </w:tblPr>
      <w:tblGrid>
        <w:gridCol w:w="3100"/>
        <w:gridCol w:w="6250"/>
      </w:tblGrid>
      <w:tr>
        <w:trPr>
          <w:tblHeader/>
        </w:trPr>
        <w:tc>
          <w:tcPr>
            <w:tcW w:type="dxa" w:w="31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Élément du référentiel</w:t>
            </w:r>
          </w:p>
        </w:tc>
        <w:tc>
          <w:tcPr>
            <w:tcW w:type="dxa" w:w="62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Contenu</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Bloc de compétences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Bloc n° 3 « Assurer la gestion opérationnelle »</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Compétence évaluée</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Prévoir et budgétiser l’activité » : fixer des objectifs commerciaux</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Savoirs associés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Les méthodes de prévision des ventes » (l’analyse des séries chronologiques, la détermination des tendances, la saisonnalité de l’activité)</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Critères d’évaluation activés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Les objectifs fixés sont réalistes », « Les données quantitatives sont judicieusement mobilisées »</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Lien avec le métier</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Fixation des objectifs commerciaux d’une opération : préalable indispensable au dimensionnement des stocks (2.2) et au calcul de rentabilité (2.3).</w:t>
            </w:r>
          </w:p>
        </w:tc>
      </w:tr>
    </w:tbl>
    <w:p>
      <w:pPr>
        <w:pStyle w:val="Heading3"/>
        <w:spacing w:after="100" w:before="240"/>
      </w:pPr>
      <w:r>
        <w:rPr>
          <w:b/>
          <w:bCs/>
          <w:color w:val="C55A11"/>
          <w:sz w:val="23"/>
          <w:szCs w:val="23"/>
        </w:rPr>
        <w:t xml:space="preserve">Rappel de cours</w:t>
      </w:r>
    </w:p>
    <w:p>
      <w:pPr>
        <w:spacing w:after="140" w:before="0" w:line="276"/>
        <w:jc w:val="both"/>
      </w:pPr>
      <w:r>
        <w:rPr>
          <w:b/>
          <w:bCs/>
        </w:rPr>
        <w:t xml:space="preserve">La prévision des ventes</w:t>
      </w:r>
      <w:r>
        <w:rPr>
          <w:b w:val="false"/>
          <w:bCs w:val="false"/>
        </w:rPr>
        <w:t xml:space="preserve"> consiste à estimer l’activité future à partir de l’historique. Lorsque l’activité est saisonnière (c’est le cas des sports nautiques : on achète un wing foil au printemps et en été, pas en novembre), la prévision annuelle doit être </w:t>
      </w:r>
      <w:r>
        <w:rPr>
          <w:b/>
          <w:bCs/>
        </w:rPr>
        <w:t xml:space="preserve">mensualisée</w:t>
      </w:r>
      <w:r>
        <w:rPr>
          <w:b w:val="false"/>
          <w:bCs w:val="false"/>
        </w:rPr>
        <w:t xml:space="preserve"> à l’aide de coefficients saisonniers.</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Coefficient saisonnier du mois = Ventes moyennes du mois ÷ Ventes moyennes mensuelles</w:t>
      </w:r>
    </w:p>
    <w:p>
      <w:pPr>
        <w:spacing w:after="140" w:before="0" w:line="276"/>
        <w:jc w:val="both"/>
      </w:pPr>
      <w:r>
        <w:rPr>
          <w:b w:val="false"/>
          <w:bCs w:val="false"/>
        </w:rPr>
        <w:t xml:space="preserve">Un coefficient de 1,4 signifie que le mois vend </w:t>
      </w:r>
      <w:r>
        <w:rPr>
          <w:b/>
          <w:bCs/>
        </w:rPr>
        <w:t xml:space="preserve">40 % de plus</w:t>
      </w:r>
      <w:r>
        <w:rPr>
          <w:b w:val="false"/>
          <w:bCs w:val="false"/>
        </w:rPr>
        <w:t xml:space="preserve"> qu’un mois moyen ; un coefficient de 0,5, moitié moins. Propriété de contrôle : la somme des 12 coefficients vaut 12 (vérifiez-le sur l’annexe 5 : 0,5 + 0,6 + 0,6 + 0,7 + 1,4 + 1,7 + 2,0 + 1 + 0,7 + 0,7 + 0,8 + 1,3 = 12 ✓). La prévision mensuelle s’obtient alors par :</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Prévision du mois = (Ventes annuelles prévues ÷ 12) × coefficient saisonnier du mois</w:t>
      </w:r>
    </w:p>
    <w:p>
      <w:pPr>
        <w:spacing w:after="140" w:before="0" w:line="276"/>
        <w:jc w:val="both"/>
      </w:pPr>
      <w:r>
        <w:rPr>
          <w:b/>
          <w:bCs/>
        </w:rPr>
        <w:t xml:space="preserve">L’effet d’une action commerciale</w:t>
      </w:r>
      <w:r>
        <w:rPr>
          <w:b w:val="false"/>
          <w:bCs w:val="false"/>
        </w:rPr>
        <w:t xml:space="preserve"> (animation, promotion) s’ajoute </w:t>
      </w:r>
      <w:r>
        <w:rPr>
          <w:b/>
          <w:bCs/>
        </w:rPr>
        <w:t xml:space="preserve">après</w:t>
      </w:r>
      <w:r>
        <w:rPr>
          <w:b w:val="false"/>
          <w:bCs w:val="false"/>
        </w:rPr>
        <w:t xml:space="preserve"> ce calcul de tendance : la note de Thomas Martin précise bien « 4 packs supplémentaires par rapport à nos prévisions ». On distingue ainsi la prévision « au fil de l’eau » de l’objectif intégrant l’action.</w:t>
      </w:r>
    </w:p>
    <w:p>
      <w:pPr>
        <w:pStyle w:val="Heading3"/>
        <w:spacing w:after="100" w:before="240"/>
      </w:pPr>
      <w:r>
        <w:rPr>
          <w:b/>
          <w:bCs/>
          <w:color w:val="C55A11"/>
          <w:sz w:val="23"/>
          <w:szCs w:val="23"/>
        </w:rPr>
        <w:t xml:space="preserve">Méthode à appliquer</w:t>
      </w:r>
    </w:p>
    <w:p>
      <w:pPr>
        <w:pStyle w:val="ListParagraph"/>
        <w:numPr>
          <w:ilvl w:val="0"/>
          <w:numId w:val="2"/>
        </w:numPr>
        <w:spacing w:after="80" w:line="276"/>
        <w:jc w:val="both"/>
      </w:pPr>
      <w:r>
        <w:rPr>
          <w:b/>
          <w:bCs/>
        </w:rPr>
        <w:t xml:space="preserve">Étape 1</w:t>
      </w:r>
      <w:r>
        <w:rPr>
          <w:b w:val="false"/>
          <w:bCs w:val="false"/>
        </w:rPr>
        <w:t xml:space="preserve"> : calculer les ventes annuelles prévues 2024 : ventes 2023 × (1 + 60 %).</w:t>
      </w:r>
    </w:p>
    <w:p>
      <w:pPr>
        <w:pStyle w:val="ListParagraph"/>
        <w:numPr>
          <w:ilvl w:val="0"/>
          <w:numId w:val="2"/>
        </w:numPr>
        <w:spacing w:after="80" w:line="276"/>
        <w:jc w:val="both"/>
      </w:pPr>
      <w:r>
        <w:rPr>
          <w:b/>
          <w:bCs/>
        </w:rPr>
        <w:t xml:space="preserve">Étape 2</w:t>
      </w:r>
      <w:r>
        <w:rPr>
          <w:b w:val="false"/>
          <w:bCs w:val="false"/>
        </w:rPr>
        <w:t xml:space="preserve"> : calculer la vente mensuelle moyenne : total annuel ÷ 12.</w:t>
      </w:r>
    </w:p>
    <w:p>
      <w:pPr>
        <w:pStyle w:val="ListParagraph"/>
        <w:numPr>
          <w:ilvl w:val="0"/>
          <w:numId w:val="2"/>
        </w:numPr>
        <w:spacing w:after="80" w:line="276"/>
        <w:jc w:val="both"/>
      </w:pPr>
      <w:r>
        <w:rPr>
          <w:b/>
          <w:bCs/>
        </w:rPr>
        <w:t xml:space="preserve">Étape 3</w:t>
      </w:r>
      <w:r>
        <w:rPr>
          <w:b w:val="false"/>
          <w:bCs w:val="false"/>
        </w:rPr>
        <w:t xml:space="preserve"> : appliquer le coefficient saisonnier de mai (1,4).</w:t>
      </w:r>
    </w:p>
    <w:p>
      <w:pPr>
        <w:pStyle w:val="ListParagraph"/>
        <w:numPr>
          <w:ilvl w:val="0"/>
          <w:numId w:val="2"/>
        </w:numPr>
        <w:spacing w:after="80" w:line="276"/>
        <w:jc w:val="both"/>
      </w:pPr>
      <w:r>
        <w:rPr>
          <w:b/>
          <w:bCs/>
        </w:rPr>
        <w:t xml:space="preserve">Étape 4</w:t>
      </w:r>
      <w:r>
        <w:rPr>
          <w:b w:val="false"/>
          <w:bCs w:val="false"/>
        </w:rPr>
        <w:t xml:space="preserve"> : ajouter l’effet animation (+4 packs).</w:t>
      </w:r>
    </w:p>
    <w:p>
      <w:pPr>
        <w:pStyle w:val="ListParagraph"/>
        <w:numPr>
          <w:ilvl w:val="0"/>
          <w:numId w:val="2"/>
        </w:numPr>
        <w:spacing w:after="80" w:line="276"/>
        <w:jc w:val="both"/>
      </w:pPr>
      <w:r>
        <w:rPr>
          <w:b/>
          <w:bCs/>
        </w:rPr>
        <w:t xml:space="preserve">Étape 5</w:t>
      </w:r>
      <w:r>
        <w:rPr>
          <w:b w:val="false"/>
          <w:bCs w:val="false"/>
        </w:rPr>
        <w:t xml:space="preserve"> : arrondir à l’entier (on vend des packs entiers) et formuler l’objectif.</w:t>
      </w:r>
    </w:p>
    <w:p>
      <w:pPr>
        <w:pStyle w:val="Heading3"/>
        <w:spacing w:after="100" w:before="240"/>
      </w:pPr>
      <w:r>
        <w:rPr>
          <w:b/>
          <w:bCs/>
          <w:color w:val="C55A11"/>
          <w:sz w:val="23"/>
          <w:szCs w:val="23"/>
        </w:rPr>
        <w:t xml:space="preserve">Correction détaillée</w:t>
      </w:r>
    </w:p>
    <w:p>
      <w:pPr>
        <w:pStyle w:val="ListParagraph"/>
        <w:numPr>
          <w:ilvl w:val="0"/>
          <w:numId w:val="2"/>
        </w:numPr>
        <w:spacing w:after="80" w:line="276"/>
        <w:jc w:val="both"/>
      </w:pPr>
      <w:r>
        <w:rPr>
          <w:b w:val="false"/>
          <w:bCs w:val="false"/>
        </w:rPr>
        <w:t xml:space="preserve">Ventes annuelles prévues 2024 = 30 × 1,60 = </w:t>
      </w:r>
      <w:r>
        <w:rPr>
          <w:b/>
          <w:bCs/>
        </w:rPr>
        <w:t xml:space="preserve">48 packs</w:t>
      </w:r>
      <w:r>
        <w:rPr>
          <w:b w:val="false"/>
          <w:bCs w:val="false"/>
        </w:rPr>
        <w:t xml:space="preserve"> ;</w:t>
      </w:r>
    </w:p>
    <w:p>
      <w:pPr>
        <w:pStyle w:val="ListParagraph"/>
        <w:numPr>
          <w:ilvl w:val="0"/>
          <w:numId w:val="2"/>
        </w:numPr>
        <w:spacing w:after="80" w:line="276"/>
        <w:jc w:val="both"/>
      </w:pPr>
      <w:r>
        <w:rPr>
          <w:b w:val="false"/>
          <w:bCs w:val="false"/>
        </w:rPr>
        <w:t xml:space="preserve">Vente mensuelle moyenne 2024 = 48 ÷ 12 = </w:t>
      </w:r>
      <w:r>
        <w:rPr>
          <w:b/>
          <w:bCs/>
        </w:rPr>
        <w:t xml:space="preserve">4 packs par mois</w:t>
      </w:r>
      <w:r>
        <w:rPr>
          <w:b w:val="false"/>
          <w:bCs w:val="false"/>
        </w:rPr>
        <w:t xml:space="preserve"> ;</w:t>
      </w:r>
    </w:p>
    <w:p>
      <w:pPr>
        <w:pStyle w:val="ListParagraph"/>
        <w:numPr>
          <w:ilvl w:val="0"/>
          <w:numId w:val="2"/>
        </w:numPr>
        <w:spacing w:after="80" w:line="276"/>
        <w:jc w:val="both"/>
      </w:pPr>
      <w:r>
        <w:rPr>
          <w:b w:val="false"/>
          <w:bCs w:val="false"/>
        </w:rPr>
        <w:t xml:space="preserve">Prévision « tendancielle » de mai = 4 × 1,4 = </w:t>
      </w:r>
      <w:r>
        <w:rPr>
          <w:b/>
          <w:bCs/>
        </w:rPr>
        <w:t xml:space="preserve">5,6 packs</w:t>
      </w:r>
      <w:r>
        <w:rPr>
          <w:b w:val="false"/>
          <w:bCs w:val="false"/>
        </w:rPr>
        <w:t xml:space="preserve"> ;</w:t>
      </w:r>
    </w:p>
    <w:p>
      <w:pPr>
        <w:pStyle w:val="ListParagraph"/>
        <w:numPr>
          <w:ilvl w:val="0"/>
          <w:numId w:val="2"/>
        </w:numPr>
        <w:spacing w:after="80" w:line="276"/>
        <w:jc w:val="both"/>
      </w:pPr>
      <w:r>
        <w:rPr>
          <w:b w:val="false"/>
          <w:bCs w:val="false"/>
        </w:rPr>
        <w:t xml:space="preserve">Objectif de mai avec animation = 5,6 + 4 = </w:t>
      </w:r>
      <w:r>
        <w:rPr>
          <w:b/>
          <w:bCs/>
        </w:rPr>
        <w:t xml:space="preserve">9,6, arrondi à 10 packs</w:t>
      </w:r>
      <w:r>
        <w:rPr>
          <w:b w:val="false"/>
          <w:bCs w:val="false"/>
        </w:rPr>
        <w:t xml:space="preserve">.</w:t>
      </w:r>
    </w:p>
    <w:p>
      <w:pPr>
        <w:spacing w:after="140" w:before="0" w:line="276"/>
        <w:jc w:val="both"/>
      </w:pPr>
      <w:r>
        <w:rPr>
          <w:b w:val="false"/>
          <w:bCs w:val="false"/>
        </w:rPr>
        <w:t xml:space="preserve">On retient un objectif de </w:t>
      </w:r>
      <w:r>
        <w:rPr>
          <w:b/>
          <w:bCs/>
        </w:rPr>
        <w:t xml:space="preserve">10 packs</w:t>
      </w:r>
      <w:r>
        <w:rPr>
          <w:b w:val="false"/>
          <w:bCs w:val="false"/>
        </w:rPr>
        <w:t xml:space="preserve"> pour mai 2024 (l’arrondi à l’entier supérieur est cohérent avec la logique d’objectif : un objectif se veut mobilisateur ; une réponse « 9,6 arrondi à 10 » parfaitement justifiée est valorisée, et l’arrondi 5,6 → 6 puis 6 + 4 = 10 aboutit au même résultat).</w:t>
      </w:r>
    </w:p>
    <w:p>
      <w:pPr>
        <w:pStyle w:val="Heading3"/>
        <w:spacing w:after="100" w:before="240"/>
      </w:pPr>
      <w:r>
        <w:rPr>
          <w:b/>
          <w:bCs/>
          <w:color w:val="C55A11"/>
          <w:sz w:val="23"/>
          <w:szCs w:val="23"/>
        </w:rPr>
        <w:t xml:space="preserve">Interprétation du résultat</w:t>
      </w:r>
    </w:p>
    <w:p>
      <w:pPr>
        <w:spacing w:after="140" w:before="0" w:line="276"/>
        <w:jc w:val="both"/>
      </w:pPr>
      <w:r>
        <w:rPr>
          <w:b w:val="false"/>
          <w:bCs w:val="false"/>
        </w:rPr>
        <w:t xml:space="preserve">Vendre 10 packs en mai, c’est </w:t>
      </w:r>
      <w:r>
        <w:rPr>
          <w:b/>
          <w:bCs/>
        </w:rPr>
        <w:t xml:space="preserve">le tiers des ventes de toute l’année 2023</w:t>
      </w:r>
      <w:r>
        <w:rPr>
          <w:b w:val="false"/>
          <w:bCs w:val="false"/>
        </w:rPr>
        <w:t xml:space="preserve"> sur un seul mois : l’objectif est ambitieux mais construit — il repose sur une tendance de marché (+60 %), une saisonnalité observée (mai = 1,4) et un levier identifié (la venue du champion du monde). Ce chiffre servira de référence pour dimensionner les commandes (question 2.2) et, plus tard, pour évaluer la performance de l’animation (réalisé vs objectif). Pour un pack vendu 2 500 € TTC (annexe 9), l’enjeu de mai représente environ 25 000 € TTC de chiffre d’affaires.</w:t>
      </w:r>
    </w:p>
    <w:p>
      <w:pPr>
        <w:pStyle w:val="Heading3"/>
        <w:spacing w:after="100" w:before="240"/>
      </w:pPr>
      <w:r>
        <w:rPr>
          <w:b/>
          <w:bCs/>
          <w:color w:val="C55A11"/>
          <w:sz w:val="23"/>
          <w:szCs w:val="23"/>
        </w:rPr>
        <w:t xml:space="preserve">Réponse rédigée attendue (modèle de copie)</w:t>
      </w:r>
    </w:p>
    <w:p>
      <w:pPr>
        <w:spacing w:after="140" w:before="0" w:line="276"/>
        <w:jc w:val="both"/>
      </w:pPr>
      <w:r>
        <w:rPr>
          <w:b w:val="false"/>
          <w:bCs w:val="false"/>
        </w:rPr>
        <w:t xml:space="preserve">« Les ventes 2023 s’élevant à 30 packs et la croissance prévue à 60 %, les ventes annuelles 2024 sont estimées à 30 × 1,6 = 48 packs, soit une moyenne mensuelle de 48 ÷ 12 = 4 packs. Le coefficient saisonnier de mai étant de 1,4, la prévision tendancielle de mai ressort à 4 × 1,4 = 5,6 packs. En ajoutant les 4 packs supplémentaires attendus grâce à la venue du champion du monde le 18 mai, l’objectif de vente du mois de mai 2024 est fixé à 5,6 + 4 = 9,6, soit </w:t>
      </w:r>
      <w:r>
        <w:rPr>
          <w:b/>
          <w:bCs/>
        </w:rPr>
        <w:t xml:space="preserve">10 packs</w:t>
      </w:r>
      <w:r>
        <w:rPr>
          <w:b w:val="false"/>
          <w:bCs w:val="false"/>
        </w:rPr>
        <w:t xml:space="preserve">. »</w:t>
      </w:r>
    </w:p>
    <w:p>
      <w:pPr>
        <w:pStyle w:val="Heading3"/>
        <w:spacing w:after="100" w:before="240"/>
      </w:pPr>
      <w:r>
        <w:rPr>
          <w:b/>
          <w:bCs/>
          <w:color w:val="C55A11"/>
          <w:sz w:val="23"/>
          <w:szCs w:val="23"/>
        </w:rPr>
        <w:t xml:space="preserve">Conseils du correcteur</w:t>
      </w:r>
    </w:p>
    <w:p>
      <w:pPr>
        <w:pBdr>
          <w:left w:val="single" w:color="C55A11" w:sz="16"/>
        </w:pBdr>
        <w:shd w:fill="FBF2E4" w:val="clear"/>
        <w:spacing w:after="140" w:before="100" w:line="276"/>
        <w:ind w:left="240" w:right="240"/>
        <w:jc w:val="both"/>
      </w:pPr>
      <w:r>
        <w:rPr>
          <w:b w:val="false"/>
          <w:bCs w:val="false"/>
          <w:i/>
          <w:iCs/>
          <w:color w:val="3B3B3B"/>
        </w:rPr>
        <w:t xml:space="preserve">Cette question est courte, mais le correcteur veut voir la chaîne complète du raisonnement : tendance annuelle → moyenne mensuelle → saisonnalité → effet de l’action. Une copie qui écrit directement « 10 » sans détail n’obtiendra presque rien : en gestion opérationnelle, c’est le raisonnement qui est noté, pas le nombre.</w:t>
      </w:r>
    </w:p>
    <w:p>
      <w:pPr>
        <w:pStyle w:val="ListParagraph"/>
        <w:numPr>
          <w:ilvl w:val="0"/>
          <w:numId w:val="2"/>
        </w:numPr>
        <w:spacing w:after="80" w:line="276"/>
        <w:jc w:val="both"/>
      </w:pPr>
      <w:r>
        <w:rPr>
          <w:b/>
          <w:bCs/>
        </w:rPr>
        <w:t xml:space="preserve">Ce qui rapporte des points</w:t>
      </w:r>
      <w:r>
        <w:rPr>
          <w:b w:val="false"/>
          <w:bCs w:val="false"/>
        </w:rPr>
        <w:t xml:space="preserve"> : le +60 % appliqué correctement (× 1,6 et non + 60 packs), la division par 12, le coefficient appliqué à la moyenne mensuelle, l’ajout des 4 packs en dernière étape, et la phrase de conclusion avec un entier.</w:t>
      </w:r>
    </w:p>
    <w:p>
      <w:pPr>
        <w:pStyle w:val="ListParagraph"/>
        <w:numPr>
          <w:ilvl w:val="0"/>
          <w:numId w:val="2"/>
        </w:numPr>
        <w:spacing w:after="80" w:line="276"/>
        <w:jc w:val="both"/>
      </w:pPr>
      <w:r>
        <w:rPr>
          <w:b/>
          <w:bCs/>
        </w:rPr>
        <w:t xml:space="preserve">Mots-clés</w:t>
      </w:r>
      <w:r>
        <w:rPr>
          <w:b w:val="false"/>
          <w:bCs w:val="false"/>
        </w:rPr>
        <w:t xml:space="preserve"> : coefficient saisonnier, saisonnalité, prévision tendancielle, objectif commercial.</w:t>
      </w:r>
    </w:p>
    <w:p>
      <w:pPr>
        <w:pStyle w:val="ListParagraph"/>
        <w:numPr>
          <w:ilvl w:val="0"/>
          <w:numId w:val="2"/>
        </w:numPr>
        <w:spacing w:after="80" w:line="276"/>
        <w:jc w:val="both"/>
      </w:pPr>
      <w:r>
        <w:rPr>
          <w:b/>
          <w:bCs/>
        </w:rPr>
        <w:t xml:space="preserve">Temps conseillé</w:t>
      </w:r>
      <w:r>
        <w:rPr>
          <w:b w:val="false"/>
          <w:bCs w:val="false"/>
        </w:rPr>
        <w:t xml:space="preserve"> : 20 minutes grand maximum — c’est une question à traiter vite et bien.</w:t>
      </w:r>
    </w:p>
    <w:p>
      <w:pPr>
        <w:pStyle w:val="Heading3"/>
        <w:spacing w:after="100" w:before="240"/>
      </w:pPr>
      <w:r>
        <w:rPr>
          <w:b/>
          <w:bCs/>
          <w:color w:val="C55A11"/>
          <w:sz w:val="23"/>
          <w:szCs w:val="23"/>
        </w:rPr>
        <w:t xml:space="preserve">Les erreurs fréquentes à éviter</w:t>
      </w:r>
    </w:p>
    <w:p>
      <w:pPr>
        <w:pStyle w:val="ListParagraph"/>
        <w:numPr>
          <w:ilvl w:val="0"/>
          <w:numId w:val="2"/>
        </w:numPr>
        <w:spacing w:after="80" w:line="276"/>
        <w:jc w:val="both"/>
      </w:pPr>
      <w:r>
        <w:rPr>
          <w:b w:val="false"/>
          <w:bCs w:val="false"/>
        </w:rPr>
        <w:t xml:space="preserve">Appliquer le coefficient de mai aux ventes annuelles (48 × 1,4 = 67,2 : absurde pour un seul mois) ;</w:t>
      </w:r>
    </w:p>
    <w:p>
      <w:pPr>
        <w:pStyle w:val="ListParagraph"/>
        <w:numPr>
          <w:ilvl w:val="0"/>
          <w:numId w:val="2"/>
        </w:numPr>
        <w:spacing w:after="80" w:line="276"/>
        <w:jc w:val="both"/>
      </w:pPr>
      <w:r>
        <w:rPr>
          <w:b w:val="false"/>
          <w:bCs w:val="false"/>
        </w:rPr>
        <w:t xml:space="preserve">Calculer +60 % en ajoutant 60 packs, ou appliquer les 60 % après la saisonnalité ;</w:t>
      </w:r>
    </w:p>
    <w:p>
      <w:pPr>
        <w:pStyle w:val="ListParagraph"/>
        <w:numPr>
          <w:ilvl w:val="0"/>
          <w:numId w:val="2"/>
        </w:numPr>
        <w:spacing w:after="80" w:line="276"/>
        <w:jc w:val="both"/>
      </w:pPr>
      <w:r>
        <w:rPr>
          <w:b w:val="false"/>
          <w:bCs w:val="false"/>
        </w:rPr>
        <w:t xml:space="preserve">Oublier les 4 packs de l’animation, ou au contraire les multiplier aussi par 1,4 ;</w:t>
      </w:r>
    </w:p>
    <w:p>
      <w:pPr>
        <w:pStyle w:val="ListParagraph"/>
        <w:numPr>
          <w:ilvl w:val="0"/>
          <w:numId w:val="2"/>
        </w:numPr>
        <w:spacing w:after="80" w:line="276"/>
        <w:jc w:val="both"/>
      </w:pPr>
      <w:r>
        <w:rPr>
          <w:b w:val="false"/>
          <w:bCs w:val="false"/>
        </w:rPr>
        <w:t xml:space="preserve">Rendre un objectif de « 9,6 packs » sans arrondir ni commenter ;</w:t>
      </w:r>
    </w:p>
    <w:p>
      <w:pPr>
        <w:pStyle w:val="ListParagraph"/>
        <w:numPr>
          <w:ilvl w:val="0"/>
          <w:numId w:val="2"/>
        </w:numPr>
        <w:spacing w:after="80" w:line="276"/>
        <w:jc w:val="both"/>
      </w:pPr>
      <w:r>
        <w:rPr>
          <w:b w:val="false"/>
          <w:bCs w:val="false"/>
        </w:rPr>
        <w:t xml:space="preserve">Confondre coefficient saisonnier (1,4) et pourcentage (140 % de la moyenne, soit +40 %).</w:t>
      </w:r>
    </w:p>
    <w:p>
      <w:pPr>
        <w:pStyle w:val="Heading3"/>
        <w:spacing w:after="100" w:before="240"/>
      </w:pPr>
      <w:r>
        <w:rPr>
          <w:b/>
          <w:bCs/>
          <w:color w:val="C55A11"/>
          <w:sz w:val="23"/>
          <w:szCs w:val="23"/>
        </w:rPr>
        <w:t xml:space="preserve">Exemple complémentaire pour vous entraîner</w:t>
      </w:r>
    </w:p>
    <w:p>
      <w:pPr>
        <w:spacing w:after="140" w:before="0" w:line="276"/>
        <w:jc w:val="both"/>
      </w:pPr>
      <w:r>
        <w:rPr>
          <w:b w:val="false"/>
          <w:bCs w:val="false"/>
        </w:rPr>
        <w:t xml:space="preserve">Une jardinerie a vendu 240 barbecues en N. Elle prévoit +25 % en N+1. Coefficient saisonnier de juin : 2,2. Une opération « fête des pères » doit apporter 8 ventes supplémentaires. Objectif de juin N+1 ?</w:t>
      </w:r>
    </w:p>
    <w:p>
      <w:pPr>
        <w:spacing w:after="140" w:before="0" w:line="276"/>
        <w:jc w:val="both"/>
      </w:pPr>
      <w:r>
        <w:rPr>
          <w:b/>
          <w:bCs/>
        </w:rPr>
        <w:t xml:space="preserve">Corrigé express</w:t>
      </w:r>
      <w:r>
        <w:rPr>
          <w:b w:val="false"/>
          <w:bCs w:val="false"/>
        </w:rPr>
        <w:t xml:space="preserve"> : 240 × 1,25 = 300 ; 300 ÷ 12 = 25 ; 25 × 2,2 = 55 ; 55 + 8 = </w:t>
      </w:r>
      <w:r>
        <w:rPr>
          <w:b/>
          <w:bCs/>
        </w:rPr>
        <w:t xml:space="preserve">63 barbecues</w:t>
      </w:r>
      <w:r>
        <w:rPr>
          <w:b w:val="false"/>
          <w:bCs w:val="false"/>
        </w:rPr>
        <w:t xml:space="preserve">.</w:t>
      </w:r>
    </w:p>
    <w:p>
      <w:pPr>
        <w:pStyle w:val="Heading3"/>
        <w:spacing w:after="100" w:before="240"/>
      </w:pPr>
      <w:r>
        <w:rPr>
          <w:b/>
          <w:bCs/>
          <w:color w:val="C55A11"/>
          <w:sz w:val="23"/>
          <w:szCs w:val="23"/>
        </w:rPr>
        <w:t xml:space="preserve">À retenir pour l’examen</w:t>
      </w:r>
    </w:p>
    <w:p>
      <w:pPr>
        <w:pBdr>
          <w:left w:val="single" w:color="375623" w:sz="16"/>
        </w:pBdr>
        <w:shd w:fill="E8F1E4" w:val="clear"/>
        <w:spacing w:after="140" w:before="100" w:line="276"/>
        <w:ind w:left="240" w:right="240"/>
        <w:jc w:val="both"/>
      </w:pPr>
      <w:r>
        <w:rPr>
          <w:b/>
          <w:bCs/>
        </w:rPr>
        <w:t xml:space="preserve">Prévision mensuelle = (annuel prévu ÷ 12) × coefficient saisonnier, puis + effet des actions commerciales.</w:t>
      </w:r>
      <w:r>
        <w:rPr>
          <w:b w:val="false"/>
          <w:bCs w:val="false"/>
        </w:rPr>
        <w:t xml:space="preserve"> Contrôle rapide : la somme des coefficients saisonniers d’une année vaut 12.</w:t>
      </w:r>
    </w:p>
    <w:p>
      <w:r>
        <w:br w:type="page"/>
      </w:r>
    </w:p>
    <w:p>
      <w:pPr>
        <w:pStyle w:val="Heading2"/>
        <w:pBdr>
          <w:bottom w:val="single" w:color="2E5AA0" w:sz="6"/>
        </w:pBdr>
        <w:spacing w:after="140" w:before="300"/>
      </w:pPr>
      <w:r>
        <w:rPr>
          <w:b/>
          <w:bCs/>
          <w:color w:val="1F3864"/>
          <w:sz w:val="26"/>
          <w:szCs w:val="26"/>
        </w:rPr>
        <w:t xml:space="preserve">Question 2.2 – Établir le programme d’approvisionnement de juin à septembre 2024 et préciser les dates de commande</w:t>
      </w:r>
    </w:p>
    <w:p>
      <w:pPr>
        <w:pStyle w:val="Heading3"/>
        <w:spacing w:after="100" w:before="240"/>
      </w:pPr>
      <w:r>
        <w:rPr>
          <w:b/>
          <w:bCs/>
          <w:color w:val="C55A11"/>
          <w:sz w:val="23"/>
          <w:szCs w:val="23"/>
        </w:rPr>
        <w:t xml:space="preserve">Ce que la question vous demande</w:t>
      </w:r>
    </w:p>
    <w:p>
      <w:pPr>
        <w:spacing w:after="140" w:before="0" w:line="276"/>
        <w:jc w:val="both"/>
      </w:pPr>
      <w:r>
        <w:rPr>
          <w:b w:val="false"/>
          <w:bCs w:val="false"/>
        </w:rPr>
        <w:t xml:space="preserve">Vous devez construire un </w:t>
      </w:r>
      <w:r>
        <w:rPr>
          <w:b/>
          <w:bCs/>
        </w:rPr>
        <w:t xml:space="preserve">budget (ou programme) des approvisionnements</w:t>
      </w:r>
      <w:r>
        <w:rPr>
          <w:b w:val="false"/>
          <w:bCs w:val="false"/>
        </w:rPr>
        <w:t xml:space="preserve"> en quantités pour quatre mois, c’est-à-dire déterminer, mois par mois, </w:t>
      </w:r>
      <w:r>
        <w:rPr>
          <w:b/>
          <w:bCs/>
        </w:rPr>
        <w:t xml:space="preserve">combien de packs faire livrer</w:t>
      </w:r>
      <w:r>
        <w:rPr>
          <w:b w:val="false"/>
          <w:bCs w:val="false"/>
        </w:rPr>
        <w:t xml:space="preserve"> pour couvrir les ventes prévues tout en respectant le stock de sécurité — puis en déduire les </w:t>
      </w:r>
      <w:r>
        <w:rPr>
          <w:b/>
          <w:bCs/>
        </w:rPr>
        <w:t xml:space="preserve">dates de commande</w:t>
      </w:r>
      <w:r>
        <w:rPr>
          <w:b w:val="false"/>
          <w:bCs w:val="false"/>
        </w:rPr>
        <w:t xml:space="preserve"> compte tenu du délai de livraison. Toutes les données sont dans les annexes 5 et 6 :</w:t>
      </w:r>
    </w:p>
    <w:p>
      <w:pPr>
        <w:pStyle w:val="ListParagraph"/>
        <w:numPr>
          <w:ilvl w:val="0"/>
          <w:numId w:val="2"/>
        </w:numPr>
        <w:spacing w:after="80" w:line="276"/>
        <w:jc w:val="both"/>
      </w:pPr>
      <w:r>
        <w:rPr>
          <w:b w:val="false"/>
          <w:bCs w:val="false"/>
        </w:rPr>
        <w:t xml:space="preserve">Ventes prévisionnelles (annexe 5, après distribution des bons) : juin 8, juillet 9, août 10, septembre 5 ;</w:t>
      </w:r>
    </w:p>
    <w:p>
      <w:pPr>
        <w:pStyle w:val="ListParagraph"/>
        <w:numPr>
          <w:ilvl w:val="0"/>
          <w:numId w:val="2"/>
        </w:numPr>
        <w:spacing w:after="80" w:line="276"/>
        <w:jc w:val="both"/>
      </w:pPr>
      <w:r>
        <w:rPr>
          <w:b w:val="false"/>
          <w:bCs w:val="false"/>
        </w:rPr>
        <w:t xml:space="preserve">Livraisons le </w:t>
      </w:r>
      <w:r>
        <w:rPr>
          <w:b/>
          <w:bCs/>
        </w:rPr>
        <w:t xml:space="preserve">premier jour ouvrable de chaque mois</w:t>
      </w:r>
      <w:r>
        <w:rPr>
          <w:b w:val="false"/>
          <w:bCs w:val="false"/>
        </w:rPr>
        <w:t xml:space="preserve"> ; délai de livraison : </w:t>
      </w:r>
      <w:r>
        <w:rPr>
          <w:b/>
          <w:bCs/>
        </w:rPr>
        <w:t xml:space="preserve">2 semaines</w:t>
      </w:r>
      <w:r>
        <w:rPr>
          <w:b w:val="false"/>
          <w:bCs w:val="false"/>
        </w:rPr>
        <w:t xml:space="preserve"> ;</w:t>
      </w:r>
    </w:p>
    <w:p>
      <w:pPr>
        <w:pStyle w:val="ListParagraph"/>
        <w:numPr>
          <w:ilvl w:val="0"/>
          <w:numId w:val="2"/>
        </w:numPr>
        <w:spacing w:after="80" w:line="276"/>
        <w:jc w:val="both"/>
      </w:pPr>
      <w:r>
        <w:rPr>
          <w:b w:val="false"/>
          <w:bCs w:val="false"/>
        </w:rPr>
        <w:t xml:space="preserve">Stock au 31 mai 2024 : </w:t>
      </w:r>
      <w:r>
        <w:rPr>
          <w:b/>
          <w:bCs/>
        </w:rPr>
        <w:t xml:space="preserve">2 packs</w:t>
      </w:r>
      <w:r>
        <w:rPr>
          <w:b w:val="false"/>
          <w:bCs w:val="false"/>
        </w:rPr>
        <w:t xml:space="preserve"> ;</w:t>
      </w:r>
    </w:p>
    <w:p>
      <w:pPr>
        <w:pStyle w:val="ListParagraph"/>
        <w:numPr>
          <w:ilvl w:val="0"/>
          <w:numId w:val="2"/>
        </w:numPr>
        <w:spacing w:after="80" w:line="276"/>
        <w:jc w:val="both"/>
      </w:pPr>
      <w:r>
        <w:rPr>
          <w:b w:val="false"/>
          <w:bCs w:val="false"/>
        </w:rPr>
        <w:t xml:space="preserve">Stock de sécurité : 2 packs en période normale, </w:t>
      </w:r>
      <w:r>
        <w:rPr>
          <w:b/>
          <w:bCs/>
        </w:rPr>
        <w:t xml:space="preserve">majoré de 50 % de juin à fin septembre</w:t>
      </w:r>
      <w:r>
        <w:rPr>
          <w:b w:val="false"/>
          <w:bCs w:val="false"/>
        </w:rPr>
        <w:t xml:space="preserve">, soit 3 packs ;</w:t>
      </w:r>
    </w:p>
    <w:p>
      <w:pPr>
        <w:pStyle w:val="ListParagraph"/>
        <w:numPr>
          <w:ilvl w:val="0"/>
          <w:numId w:val="2"/>
        </w:numPr>
        <w:spacing w:after="80" w:line="276"/>
        <w:jc w:val="both"/>
      </w:pPr>
      <w:r>
        <w:rPr>
          <w:b w:val="false"/>
          <w:bCs w:val="false"/>
        </w:rPr>
        <w:t xml:space="preserve">Les quantités commandées couvrent les besoins </w:t>
      </w:r>
      <w:r>
        <w:rPr>
          <w:b/>
          <w:bCs/>
        </w:rPr>
        <w:t xml:space="preserve">jusqu’à la prochaine livraison</w:t>
      </w:r>
      <w:r>
        <w:rPr>
          <w:b w:val="false"/>
          <w:bCs w:val="false"/>
        </w:rPr>
        <w:t xml:space="preserve"> (donc un mois de besoins, puisque les livraisons sont mensuelles).</w:t>
      </w:r>
    </w:p>
    <w:p>
      <w:pPr>
        <w:spacing w:after="140" w:before="0" w:line="276"/>
        <w:jc w:val="both"/>
      </w:pPr>
      <w:r>
        <w:rPr>
          <w:b/>
          <w:bCs/>
        </w:rPr>
        <w:t xml:space="preserve">Forme attendue</w:t>
      </w:r>
      <w:r>
        <w:rPr>
          <w:b w:val="false"/>
          <w:bCs w:val="false"/>
        </w:rPr>
        <w:t xml:space="preserve"> : un tableau à quatre colonnes de mois avec stock initial, livraison, ventes, stock final, accompagné du calendrier des commandes. </w:t>
      </w:r>
      <w:r>
        <w:rPr>
          <w:b/>
          <w:bCs/>
        </w:rPr>
        <w:t xml:space="preserve">Difficultés</w:t>
      </w:r>
      <w:r>
        <w:rPr>
          <w:b w:val="false"/>
          <w:bCs w:val="false"/>
        </w:rPr>
        <w:t xml:space="preserve"> : la majoration du stock de sécurité (2 × 1,5 = 3), le stock final de septembre (retour à la période normale en octobre) et le calcul des dates (jours ouvrables, délai de deux semaines).</w:t>
      </w:r>
    </w:p>
    <w:p>
      <w:pPr>
        <w:pStyle w:val="Heading3"/>
        <w:spacing w:after="100" w:before="240"/>
      </w:pPr>
      <w:r>
        <w:rPr>
          <w:b/>
          <w:bCs/>
          <w:color w:val="C55A11"/>
          <w:sz w:val="23"/>
          <w:szCs w:val="23"/>
        </w:rPr>
        <w:t xml:space="preserve">Compétence et notion du référentiel mobilisées</w:t>
      </w:r>
    </w:p>
    <w:tbl>
      <w:tblPr>
        <w:tblW w:type="dxa" w:w="9350"/>
        <w:jc w:val="center"/>
        <w:tblBorders>
          <w:top w:val="single" w:color="auto" w:sz="4"/>
          <w:left w:val="single" w:color="auto" w:sz="4"/>
          <w:bottom w:val="single" w:color="auto" w:sz="4"/>
          <w:right w:val="single" w:color="auto" w:sz="4"/>
          <w:insideH w:val="single" w:color="auto" w:sz="4"/>
          <w:insideV w:val="single" w:color="auto" w:sz="4"/>
        </w:tblBorders>
      </w:tblPr>
      <w:tblGrid>
        <w:gridCol w:w="3100"/>
        <w:gridCol w:w="6250"/>
      </w:tblGrid>
      <w:tr>
        <w:trPr>
          <w:tblHeader/>
        </w:trPr>
        <w:tc>
          <w:tcPr>
            <w:tcW w:type="dxa" w:w="31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Élément du référentiel</w:t>
            </w:r>
          </w:p>
        </w:tc>
        <w:tc>
          <w:tcPr>
            <w:tcW w:type="dxa" w:w="62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Contenu</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Bloc de compétences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Bloc n° 3 « Assurer la gestion opérationnelle »</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Compétences évaluées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Gérer les opérations courantes » : garantir les approvisionnements, gérer les stocks ; « Prévoir et budgétiser l’activité » : élaborer des budgets</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Savoirs associés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Les stocks et les approvisionnements » (les indicateurs de gestion des stocks, la gestion des approvisionnements), « Les budgets » (les principes de la démarche budgétaire)</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Critères d’évaluation activés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Les approvisionnements sont assurés et optimisés », « Le suivi des stocks est rigoureux », « Les budgets sont fiables et opérationnels »</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Lien avec le métier</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Élaboration d’un programme d’approvisionnement : cœur de métier du manageur qui doit éviter à la fois la rupture (ventes perdues, clients déçus) et le surstock (trésorerie immobilisée).</w:t>
            </w:r>
          </w:p>
        </w:tc>
      </w:tr>
    </w:tbl>
    <w:p>
      <w:pPr>
        <w:pStyle w:val="Heading3"/>
        <w:spacing w:after="100" w:before="240"/>
      </w:pPr>
      <w:r>
        <w:rPr>
          <w:b/>
          <w:bCs/>
          <w:color w:val="C55A11"/>
          <w:sz w:val="23"/>
          <w:szCs w:val="23"/>
        </w:rPr>
        <w:t xml:space="preserve">Rappel de cours</w:t>
      </w:r>
    </w:p>
    <w:p>
      <w:pPr>
        <w:spacing w:after="140" w:before="0" w:line="276"/>
        <w:jc w:val="both"/>
      </w:pPr>
      <w:r>
        <w:rPr>
          <w:b/>
          <w:bCs/>
        </w:rPr>
        <w:t xml:space="preserve">Le programme d’approvisionnement</w:t>
      </w:r>
      <w:r>
        <w:rPr>
          <w:b w:val="false"/>
          <w:bCs w:val="false"/>
        </w:rPr>
        <w:t xml:space="preserve"> planifie les livraisons et les commandes nécessaires pour satisfaire les ventes prévues. Il repose sur l’équation fondamentale des stocks :</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Stock final = Stock initial + Livraisons (entrées) − Ventes (sorties)</w:t>
      </w:r>
    </w:p>
    <w:p>
      <w:pPr>
        <w:spacing w:after="140" w:before="0" w:line="276"/>
        <w:jc w:val="both"/>
      </w:pPr>
      <w:r>
        <w:rPr>
          <w:b/>
          <w:bCs/>
        </w:rPr>
        <w:t xml:space="preserve">Le stock de sécurité</w:t>
      </w:r>
      <w:r>
        <w:rPr>
          <w:b w:val="false"/>
          <w:bCs w:val="false"/>
        </w:rPr>
        <w:t xml:space="preserve"> est un volant de stock destiné à absorber les aléas (retard de livraison, pic de demande). La règle de gestion est donc : le stock final de chaque période doit être </w:t>
      </w:r>
      <w:r>
        <w:rPr>
          <w:b/>
          <w:bCs/>
        </w:rPr>
        <w:t xml:space="preserve">au moins égal au stock de sécurité</w:t>
      </w:r>
      <w:r>
        <w:rPr>
          <w:b w:val="false"/>
          <w:bCs w:val="false"/>
        </w:rPr>
        <w:t xml:space="preserve">. On en déduit la quantité à livrer :</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Livraison du mois = Ventes prévues du mois + Stock final visé (stock de sécurité) − Stock initial</w:t>
      </w:r>
    </w:p>
    <w:p>
      <w:pPr>
        <w:spacing w:after="140" w:before="0" w:line="276"/>
        <w:jc w:val="both"/>
      </w:pPr>
      <w:r>
        <w:rPr>
          <w:b/>
          <w:bCs/>
        </w:rPr>
        <w:t xml:space="preserve">La date de commande</w:t>
      </w:r>
      <w:r>
        <w:rPr>
          <w:b w:val="false"/>
          <w:bCs w:val="false"/>
        </w:rPr>
        <w:t xml:space="preserve"> découle du délai de livraison : commander au plus tard « délai » avant la date de livraison souhaitée.</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Date de commande = Date de livraison − Délai de livraison (ici : 2 semaines, soit 14 jours)</w:t>
      </w:r>
    </w:p>
    <w:p>
      <w:pPr>
        <w:spacing w:after="140" w:before="0" w:line="276"/>
        <w:jc w:val="both"/>
      </w:pPr>
      <w:r>
        <w:rPr>
          <w:b/>
          <w:bCs/>
        </w:rPr>
        <w:t xml:space="preserve">Rappel calendaire</w:t>
      </w:r>
      <w:r>
        <w:rPr>
          <w:b w:val="false"/>
          <w:bCs w:val="false"/>
        </w:rPr>
        <w:t xml:space="preserve"> : un jour </w:t>
      </w:r>
      <w:r>
        <w:rPr>
          <w:b/>
          <w:bCs/>
        </w:rPr>
        <w:t xml:space="preserve">ouvrable</w:t>
      </w:r>
      <w:r>
        <w:rPr>
          <w:b w:val="false"/>
          <w:bCs w:val="false"/>
        </w:rPr>
        <w:t xml:space="preserve"> est tout jour de la semaine sauf le dimanche et les jours fériés (le samedi est ouvrable) ; un jour </w:t>
      </w:r>
      <w:r>
        <w:rPr>
          <w:b/>
          <w:bCs/>
        </w:rPr>
        <w:t xml:space="preserve">ouvré</w:t>
      </w:r>
      <w:r>
        <w:rPr>
          <w:b w:val="false"/>
          <w:bCs w:val="false"/>
        </w:rPr>
        <w:t xml:space="preserve"> est un jour effectivement travaillé (généralement lundi–vendredi). Le sujet parle de jours ouvrables. Enfin, le </w:t>
      </w:r>
      <w:r>
        <w:rPr>
          <w:b/>
          <w:bCs/>
        </w:rPr>
        <w:t xml:space="preserve">stock initial d’un mois est le stock final du mois précédent</w:t>
      </w:r>
      <w:r>
        <w:rPr>
          <w:b w:val="false"/>
          <w:bCs w:val="false"/>
        </w:rPr>
        <w:t xml:space="preserve"> : les colonnes du tableau s’enchaînent.</w:t>
      </w:r>
    </w:p>
    <w:p>
      <w:pPr>
        <w:pStyle w:val="Heading3"/>
        <w:spacing w:after="100" w:before="240"/>
      </w:pPr>
      <w:r>
        <w:rPr>
          <w:b/>
          <w:bCs/>
          <w:color w:val="C55A11"/>
          <w:sz w:val="23"/>
          <w:szCs w:val="23"/>
        </w:rPr>
        <w:t xml:space="preserve">Méthode à appliquer</w:t>
      </w:r>
    </w:p>
    <w:p>
      <w:pPr>
        <w:pStyle w:val="ListParagraph"/>
        <w:numPr>
          <w:ilvl w:val="0"/>
          <w:numId w:val="2"/>
        </w:numPr>
        <w:spacing w:after="80" w:line="276"/>
        <w:jc w:val="both"/>
      </w:pPr>
      <w:r>
        <w:rPr>
          <w:b/>
          <w:bCs/>
        </w:rPr>
        <w:t xml:space="preserve">Étape 1</w:t>
      </w:r>
      <w:r>
        <w:rPr>
          <w:b w:val="false"/>
          <w:bCs w:val="false"/>
        </w:rPr>
        <w:t xml:space="preserve"> : poser les paramètres : stock au 31 mai = 2 ; stock de sécurité juin–septembre = 2 × 1,5 = </w:t>
      </w:r>
      <w:r>
        <w:rPr>
          <w:b/>
          <w:bCs/>
        </w:rPr>
        <w:t xml:space="preserve">3 packs</w:t>
      </w:r>
      <w:r>
        <w:rPr>
          <w:b w:val="false"/>
          <w:bCs w:val="false"/>
        </w:rPr>
        <w:t xml:space="preserve"> ; ventes = 8, 9, 10, 5.</w:t>
      </w:r>
    </w:p>
    <w:p>
      <w:pPr>
        <w:pStyle w:val="ListParagraph"/>
        <w:numPr>
          <w:ilvl w:val="0"/>
          <w:numId w:val="2"/>
        </w:numPr>
        <w:spacing w:after="80" w:line="276"/>
        <w:jc w:val="both"/>
      </w:pPr>
      <w:r>
        <w:rPr>
          <w:b/>
          <w:bCs/>
        </w:rPr>
        <w:t xml:space="preserve">Étape 2</w:t>
      </w:r>
      <w:r>
        <w:rPr>
          <w:b w:val="false"/>
          <w:bCs w:val="false"/>
        </w:rPr>
        <w:t xml:space="preserve"> : construire le tableau mois par mois : stock initial → livraison (calculée) → ventes → stock final = stock de sécurité.</w:t>
      </w:r>
    </w:p>
    <w:p>
      <w:pPr>
        <w:pStyle w:val="ListParagraph"/>
        <w:numPr>
          <w:ilvl w:val="0"/>
          <w:numId w:val="2"/>
        </w:numPr>
        <w:spacing w:after="80" w:line="276"/>
        <w:jc w:val="both"/>
      </w:pPr>
      <w:r>
        <w:rPr>
          <w:b/>
          <w:bCs/>
        </w:rPr>
        <w:t xml:space="preserve">Étape 3</w:t>
      </w:r>
      <w:r>
        <w:rPr>
          <w:b w:val="false"/>
          <w:bCs w:val="false"/>
        </w:rPr>
        <w:t xml:space="preserve"> : traiter le cas de septembre : à partir d’octobre, la période redevient normale, le stock de sécurité retombe à 2 ; le stock final visé fin septembre est donc de 2 packs (hypothèse à expliciter sur la copie).</w:t>
      </w:r>
    </w:p>
    <w:p>
      <w:pPr>
        <w:pStyle w:val="ListParagraph"/>
        <w:numPr>
          <w:ilvl w:val="0"/>
          <w:numId w:val="2"/>
        </w:numPr>
        <w:spacing w:after="80" w:line="276"/>
        <w:jc w:val="both"/>
      </w:pPr>
      <w:r>
        <w:rPr>
          <w:b/>
          <w:bCs/>
        </w:rPr>
        <w:t xml:space="preserve">Étape 4</w:t>
      </w:r>
      <w:r>
        <w:rPr>
          <w:b w:val="false"/>
          <w:bCs w:val="false"/>
        </w:rPr>
        <w:t xml:space="preserve"> : vérifier la cohérence globale : total livré = total vendu + variation de stock.</w:t>
      </w:r>
    </w:p>
    <w:p>
      <w:pPr>
        <w:pStyle w:val="ListParagraph"/>
        <w:numPr>
          <w:ilvl w:val="0"/>
          <w:numId w:val="2"/>
        </w:numPr>
        <w:spacing w:after="80" w:line="276"/>
        <w:jc w:val="both"/>
      </w:pPr>
      <w:r>
        <w:rPr>
          <w:b/>
          <w:bCs/>
        </w:rPr>
        <w:t xml:space="preserve">Étape 5</w:t>
      </w:r>
      <w:r>
        <w:rPr>
          <w:b w:val="false"/>
          <w:bCs w:val="false"/>
        </w:rPr>
        <w:t xml:space="preserve"> : déterminer les dates de livraison (1er jour ouvrable du mois, calendrier 2024) puis retrancher 2 semaines pour obtenir les dates de commande.</w:t>
      </w:r>
    </w:p>
    <w:p>
      <w:pPr>
        <w:pStyle w:val="Heading3"/>
        <w:spacing w:after="100" w:before="240"/>
      </w:pPr>
      <w:r>
        <w:rPr>
          <w:b/>
          <w:bCs/>
          <w:color w:val="C55A11"/>
          <w:sz w:val="23"/>
          <w:szCs w:val="23"/>
        </w:rPr>
        <w:t xml:space="preserve">Correction détaillée – le programme d’approvisionnement</w:t>
      </w:r>
    </w:p>
    <w:tbl>
      <w:tblPr>
        <w:tblW w:type="dxa" w:w="9350"/>
        <w:jc w:val="center"/>
        <w:tblBorders>
          <w:top w:val="single" w:color="auto" w:sz="4"/>
          <w:left w:val="single" w:color="auto" w:sz="4"/>
          <w:bottom w:val="single" w:color="auto" w:sz="4"/>
          <w:right w:val="single" w:color="auto" w:sz="4"/>
          <w:insideH w:val="single" w:color="auto" w:sz="4"/>
          <w:insideV w:val="single" w:color="auto" w:sz="4"/>
        </w:tblBorders>
      </w:tblPr>
      <w:tblGrid>
        <w:gridCol w:w="3450"/>
        <w:gridCol w:w="1475"/>
        <w:gridCol w:w="1475"/>
        <w:gridCol w:w="1475"/>
        <w:gridCol w:w="1475"/>
      </w:tblGrid>
      <w:tr>
        <w:trPr>
          <w:tblHeader/>
        </w:trPr>
        <w:tc>
          <w:tcPr>
            <w:tcW w:type="dxa" w:w="34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En packs</w:t>
            </w:r>
          </w:p>
        </w:tc>
        <w:tc>
          <w:tcPr>
            <w:tcW w:type="dxa" w:w="1475"/>
            <w:shd w:fill="1F3864" w:val="clear"/>
            <w:tcMar>
              <w:top w:type="dxa" w:w="60"/>
              <w:left w:type="dxa" w:w="100"/>
              <w:bottom w:type="dxa" w:w="60"/>
              <w:right w:type="dxa" w:w="100"/>
            </w:tcMar>
            <w:vAlign w:val="center"/>
          </w:tcPr>
          <w:p>
            <w:pPr>
              <w:spacing w:after="0"/>
              <w:jc w:val="center"/>
            </w:pPr>
            <w:r>
              <w:rPr>
                <w:b/>
                <w:bCs/>
                <w:color w:val="FFFFFF"/>
                <w:sz w:val="19"/>
                <w:szCs w:val="19"/>
              </w:rPr>
              <w:t xml:space="preserve">Juin</w:t>
            </w:r>
          </w:p>
        </w:tc>
        <w:tc>
          <w:tcPr>
            <w:tcW w:type="dxa" w:w="1475"/>
            <w:shd w:fill="1F3864" w:val="clear"/>
            <w:tcMar>
              <w:top w:type="dxa" w:w="60"/>
              <w:left w:type="dxa" w:w="100"/>
              <w:bottom w:type="dxa" w:w="60"/>
              <w:right w:type="dxa" w:w="100"/>
            </w:tcMar>
            <w:vAlign w:val="center"/>
          </w:tcPr>
          <w:p>
            <w:pPr>
              <w:spacing w:after="0"/>
              <w:jc w:val="center"/>
            </w:pPr>
            <w:r>
              <w:rPr>
                <w:b/>
                <w:bCs/>
                <w:color w:val="FFFFFF"/>
                <w:sz w:val="19"/>
                <w:szCs w:val="19"/>
              </w:rPr>
              <w:t xml:space="preserve">Juillet</w:t>
            </w:r>
          </w:p>
        </w:tc>
        <w:tc>
          <w:tcPr>
            <w:tcW w:type="dxa" w:w="1475"/>
            <w:shd w:fill="1F3864" w:val="clear"/>
            <w:tcMar>
              <w:top w:type="dxa" w:w="60"/>
              <w:left w:type="dxa" w:w="100"/>
              <w:bottom w:type="dxa" w:w="60"/>
              <w:right w:type="dxa" w:w="100"/>
            </w:tcMar>
            <w:vAlign w:val="center"/>
          </w:tcPr>
          <w:p>
            <w:pPr>
              <w:spacing w:after="0"/>
              <w:jc w:val="center"/>
            </w:pPr>
            <w:r>
              <w:rPr>
                <w:b/>
                <w:bCs/>
                <w:color w:val="FFFFFF"/>
                <w:sz w:val="19"/>
                <w:szCs w:val="19"/>
              </w:rPr>
              <w:t xml:space="preserve">Août</w:t>
            </w:r>
          </w:p>
        </w:tc>
        <w:tc>
          <w:tcPr>
            <w:tcW w:type="dxa" w:w="1475"/>
            <w:shd w:fill="1F3864" w:val="clear"/>
            <w:tcMar>
              <w:top w:type="dxa" w:w="60"/>
              <w:left w:type="dxa" w:w="100"/>
              <w:bottom w:type="dxa" w:w="60"/>
              <w:right w:type="dxa" w:w="100"/>
            </w:tcMar>
            <w:vAlign w:val="center"/>
          </w:tcPr>
          <w:p>
            <w:pPr>
              <w:spacing w:after="0"/>
              <w:jc w:val="center"/>
            </w:pPr>
            <w:r>
              <w:rPr>
                <w:b/>
                <w:bCs/>
                <w:color w:val="FFFFFF"/>
                <w:sz w:val="19"/>
                <w:szCs w:val="19"/>
              </w:rPr>
              <w:t xml:space="preserve">Septembre</w:t>
            </w:r>
          </w:p>
        </w:tc>
      </w:tr>
      <w:tr>
        <w:tc>
          <w:tcPr>
            <w:tcW w:type="dxa" w:w="3450"/>
            <w:tcMar>
              <w:top w:type="dxa" w:w="60"/>
              <w:left w:type="dxa" w:w="100"/>
              <w:bottom w:type="dxa" w:w="60"/>
              <w:right w:type="dxa" w:w="100"/>
            </w:tcMar>
            <w:vAlign w:val="center"/>
          </w:tcPr>
          <w:p>
            <w:pPr>
              <w:spacing w:after="0"/>
            </w:pPr>
            <w:r>
              <w:rPr>
                <w:b w:val="false"/>
                <w:bCs w:val="false"/>
                <w:sz w:val="19"/>
                <w:szCs w:val="19"/>
              </w:rPr>
              <w:t xml:space="preserve">Stock initial (début de mois)</w:t>
            </w:r>
          </w:p>
        </w:tc>
        <w:tc>
          <w:tcPr>
            <w:tcW w:type="dxa" w:w="1475"/>
            <w:tcMar>
              <w:top w:type="dxa" w:w="60"/>
              <w:left w:type="dxa" w:w="100"/>
              <w:bottom w:type="dxa" w:w="60"/>
              <w:right w:type="dxa" w:w="100"/>
            </w:tcMar>
            <w:vAlign w:val="center"/>
          </w:tcPr>
          <w:p>
            <w:pPr>
              <w:spacing w:after="0"/>
            </w:pPr>
            <w:r>
              <w:rPr>
                <w:b w:val="false"/>
                <w:bCs w:val="false"/>
                <w:sz w:val="19"/>
                <w:szCs w:val="19"/>
              </w:rPr>
              <w:t xml:space="preserve">2</w:t>
            </w:r>
          </w:p>
        </w:tc>
        <w:tc>
          <w:tcPr>
            <w:tcW w:type="dxa" w:w="1475"/>
            <w:tcMar>
              <w:top w:type="dxa" w:w="60"/>
              <w:left w:type="dxa" w:w="100"/>
              <w:bottom w:type="dxa" w:w="60"/>
              <w:right w:type="dxa" w:w="100"/>
            </w:tcMar>
            <w:vAlign w:val="center"/>
          </w:tcPr>
          <w:p>
            <w:pPr>
              <w:spacing w:after="0"/>
            </w:pPr>
            <w:r>
              <w:rPr>
                <w:b w:val="false"/>
                <w:bCs w:val="false"/>
                <w:sz w:val="19"/>
                <w:szCs w:val="19"/>
              </w:rPr>
              <w:t xml:space="preserve">3</w:t>
            </w:r>
          </w:p>
        </w:tc>
        <w:tc>
          <w:tcPr>
            <w:tcW w:type="dxa" w:w="1475"/>
            <w:tcMar>
              <w:top w:type="dxa" w:w="60"/>
              <w:left w:type="dxa" w:w="100"/>
              <w:bottom w:type="dxa" w:w="60"/>
              <w:right w:type="dxa" w:w="100"/>
            </w:tcMar>
            <w:vAlign w:val="center"/>
          </w:tcPr>
          <w:p>
            <w:pPr>
              <w:spacing w:after="0"/>
            </w:pPr>
            <w:r>
              <w:rPr>
                <w:b w:val="false"/>
                <w:bCs w:val="false"/>
                <w:sz w:val="19"/>
                <w:szCs w:val="19"/>
              </w:rPr>
              <w:t xml:space="preserve">3</w:t>
            </w:r>
          </w:p>
        </w:tc>
        <w:tc>
          <w:tcPr>
            <w:tcW w:type="dxa" w:w="1475"/>
            <w:tcMar>
              <w:top w:type="dxa" w:w="60"/>
              <w:left w:type="dxa" w:w="100"/>
              <w:bottom w:type="dxa" w:w="60"/>
              <w:right w:type="dxa" w:w="100"/>
            </w:tcMar>
            <w:vAlign w:val="center"/>
          </w:tcPr>
          <w:p>
            <w:pPr>
              <w:spacing w:after="0"/>
            </w:pPr>
            <w:r>
              <w:rPr>
                <w:b w:val="false"/>
                <w:bCs w:val="false"/>
                <w:sz w:val="19"/>
                <w:szCs w:val="19"/>
              </w:rPr>
              <w:t xml:space="preserve">3</w:t>
            </w:r>
          </w:p>
        </w:tc>
      </w:tr>
      <w:tr>
        <w:tc>
          <w:tcPr>
            <w:tcW w:type="dxa" w:w="3450"/>
            <w:tcMar>
              <w:top w:type="dxa" w:w="60"/>
              <w:left w:type="dxa" w:w="100"/>
              <w:bottom w:type="dxa" w:w="60"/>
              <w:right w:type="dxa" w:w="100"/>
            </w:tcMar>
            <w:vAlign w:val="center"/>
          </w:tcPr>
          <w:p>
            <w:pPr>
              <w:spacing w:after="0"/>
            </w:pPr>
            <w:r>
              <w:rPr>
                <w:b w:val="false"/>
                <w:bCs w:val="false"/>
                <w:sz w:val="19"/>
                <w:szCs w:val="19"/>
              </w:rPr>
              <w:t xml:space="preserve">Livraison (1er jour ouvrable)</w:t>
            </w:r>
          </w:p>
        </w:tc>
        <w:tc>
          <w:tcPr>
            <w:tcW w:type="dxa" w:w="1475"/>
            <w:tcMar>
              <w:top w:type="dxa" w:w="60"/>
              <w:left w:type="dxa" w:w="100"/>
              <w:bottom w:type="dxa" w:w="60"/>
              <w:right w:type="dxa" w:w="100"/>
            </w:tcMar>
            <w:vAlign w:val="center"/>
          </w:tcPr>
          <w:p>
            <w:pPr>
              <w:spacing w:after="0"/>
            </w:pPr>
            <w:r>
              <w:rPr>
                <w:b/>
                <w:bCs/>
                <w:sz w:val="19"/>
                <w:szCs w:val="19"/>
              </w:rPr>
              <w:t xml:space="preserve">9</w:t>
            </w:r>
          </w:p>
        </w:tc>
        <w:tc>
          <w:tcPr>
            <w:tcW w:type="dxa" w:w="1475"/>
            <w:tcMar>
              <w:top w:type="dxa" w:w="60"/>
              <w:left w:type="dxa" w:w="100"/>
              <w:bottom w:type="dxa" w:w="60"/>
              <w:right w:type="dxa" w:w="100"/>
            </w:tcMar>
            <w:vAlign w:val="center"/>
          </w:tcPr>
          <w:p>
            <w:pPr>
              <w:spacing w:after="0"/>
            </w:pPr>
            <w:r>
              <w:rPr>
                <w:b/>
                <w:bCs/>
                <w:sz w:val="19"/>
                <w:szCs w:val="19"/>
              </w:rPr>
              <w:t xml:space="preserve">9</w:t>
            </w:r>
          </w:p>
        </w:tc>
        <w:tc>
          <w:tcPr>
            <w:tcW w:type="dxa" w:w="1475"/>
            <w:tcMar>
              <w:top w:type="dxa" w:w="60"/>
              <w:left w:type="dxa" w:w="100"/>
              <w:bottom w:type="dxa" w:w="60"/>
              <w:right w:type="dxa" w:w="100"/>
            </w:tcMar>
            <w:vAlign w:val="center"/>
          </w:tcPr>
          <w:p>
            <w:pPr>
              <w:spacing w:after="0"/>
            </w:pPr>
            <w:r>
              <w:rPr>
                <w:b/>
                <w:bCs/>
                <w:sz w:val="19"/>
                <w:szCs w:val="19"/>
              </w:rPr>
              <w:t xml:space="preserve">10</w:t>
            </w:r>
          </w:p>
        </w:tc>
        <w:tc>
          <w:tcPr>
            <w:tcW w:type="dxa" w:w="1475"/>
            <w:tcMar>
              <w:top w:type="dxa" w:w="60"/>
              <w:left w:type="dxa" w:w="100"/>
              <w:bottom w:type="dxa" w:w="60"/>
              <w:right w:type="dxa" w:w="100"/>
            </w:tcMar>
            <w:vAlign w:val="center"/>
          </w:tcPr>
          <w:p>
            <w:pPr>
              <w:spacing w:after="0"/>
            </w:pPr>
            <w:r>
              <w:rPr>
                <w:b/>
                <w:bCs/>
                <w:sz w:val="19"/>
                <w:szCs w:val="19"/>
              </w:rPr>
              <w:t xml:space="preserve">4</w:t>
            </w:r>
          </w:p>
        </w:tc>
      </w:tr>
      <w:tr>
        <w:tc>
          <w:tcPr>
            <w:tcW w:type="dxa" w:w="3450"/>
            <w:tcMar>
              <w:top w:type="dxa" w:w="60"/>
              <w:left w:type="dxa" w:w="100"/>
              <w:bottom w:type="dxa" w:w="60"/>
              <w:right w:type="dxa" w:w="100"/>
            </w:tcMar>
            <w:vAlign w:val="center"/>
          </w:tcPr>
          <w:p>
            <w:pPr>
              <w:spacing w:after="0"/>
            </w:pPr>
            <w:r>
              <w:rPr>
                <w:b w:val="false"/>
                <w:bCs w:val="false"/>
                <w:sz w:val="19"/>
                <w:szCs w:val="19"/>
              </w:rPr>
              <w:t xml:space="preserve">Ventes prévisionnelles</w:t>
            </w:r>
          </w:p>
        </w:tc>
        <w:tc>
          <w:tcPr>
            <w:tcW w:type="dxa" w:w="1475"/>
            <w:tcMar>
              <w:top w:type="dxa" w:w="60"/>
              <w:left w:type="dxa" w:w="100"/>
              <w:bottom w:type="dxa" w:w="60"/>
              <w:right w:type="dxa" w:w="100"/>
            </w:tcMar>
            <w:vAlign w:val="center"/>
          </w:tcPr>
          <w:p>
            <w:pPr>
              <w:spacing w:after="0"/>
            </w:pPr>
            <w:r>
              <w:rPr>
                <w:b w:val="false"/>
                <w:bCs w:val="false"/>
                <w:sz w:val="19"/>
                <w:szCs w:val="19"/>
              </w:rPr>
              <w:t xml:space="preserve">8</w:t>
            </w:r>
          </w:p>
        </w:tc>
        <w:tc>
          <w:tcPr>
            <w:tcW w:type="dxa" w:w="1475"/>
            <w:tcMar>
              <w:top w:type="dxa" w:w="60"/>
              <w:left w:type="dxa" w:w="100"/>
              <w:bottom w:type="dxa" w:w="60"/>
              <w:right w:type="dxa" w:w="100"/>
            </w:tcMar>
            <w:vAlign w:val="center"/>
          </w:tcPr>
          <w:p>
            <w:pPr>
              <w:spacing w:after="0"/>
            </w:pPr>
            <w:r>
              <w:rPr>
                <w:b w:val="false"/>
                <w:bCs w:val="false"/>
                <w:sz w:val="19"/>
                <w:szCs w:val="19"/>
              </w:rPr>
              <w:t xml:space="preserve">9</w:t>
            </w:r>
          </w:p>
        </w:tc>
        <w:tc>
          <w:tcPr>
            <w:tcW w:type="dxa" w:w="1475"/>
            <w:tcMar>
              <w:top w:type="dxa" w:w="60"/>
              <w:left w:type="dxa" w:w="100"/>
              <w:bottom w:type="dxa" w:w="60"/>
              <w:right w:type="dxa" w:w="100"/>
            </w:tcMar>
            <w:vAlign w:val="center"/>
          </w:tcPr>
          <w:p>
            <w:pPr>
              <w:spacing w:after="0"/>
            </w:pPr>
            <w:r>
              <w:rPr>
                <w:b w:val="false"/>
                <w:bCs w:val="false"/>
                <w:sz w:val="19"/>
                <w:szCs w:val="19"/>
              </w:rPr>
              <w:t xml:space="preserve">10</w:t>
            </w:r>
          </w:p>
        </w:tc>
        <w:tc>
          <w:tcPr>
            <w:tcW w:type="dxa" w:w="1475"/>
            <w:tcMar>
              <w:top w:type="dxa" w:w="60"/>
              <w:left w:type="dxa" w:w="100"/>
              <w:bottom w:type="dxa" w:w="60"/>
              <w:right w:type="dxa" w:w="100"/>
            </w:tcMar>
            <w:vAlign w:val="center"/>
          </w:tcPr>
          <w:p>
            <w:pPr>
              <w:spacing w:after="0"/>
            </w:pPr>
            <w:r>
              <w:rPr>
                <w:b w:val="false"/>
                <w:bCs w:val="false"/>
                <w:sz w:val="19"/>
                <w:szCs w:val="19"/>
              </w:rPr>
              <w:t xml:space="preserve">5</w:t>
            </w:r>
          </w:p>
        </w:tc>
      </w:tr>
      <w:tr>
        <w:tc>
          <w:tcPr>
            <w:tcW w:type="dxa" w:w="3450"/>
            <w:tcMar>
              <w:top w:type="dxa" w:w="60"/>
              <w:left w:type="dxa" w:w="100"/>
              <w:bottom w:type="dxa" w:w="60"/>
              <w:right w:type="dxa" w:w="100"/>
            </w:tcMar>
            <w:vAlign w:val="center"/>
          </w:tcPr>
          <w:p>
            <w:pPr>
              <w:spacing w:after="0"/>
            </w:pPr>
            <w:r>
              <w:rPr>
                <w:b w:val="false"/>
                <w:bCs w:val="false"/>
                <w:sz w:val="19"/>
                <w:szCs w:val="19"/>
              </w:rPr>
              <w:t xml:space="preserve">Stock final (= stock de sécurité)</w:t>
            </w:r>
          </w:p>
        </w:tc>
        <w:tc>
          <w:tcPr>
            <w:tcW w:type="dxa" w:w="1475"/>
            <w:tcMar>
              <w:top w:type="dxa" w:w="60"/>
              <w:left w:type="dxa" w:w="100"/>
              <w:bottom w:type="dxa" w:w="60"/>
              <w:right w:type="dxa" w:w="100"/>
            </w:tcMar>
            <w:vAlign w:val="center"/>
          </w:tcPr>
          <w:p>
            <w:pPr>
              <w:spacing w:after="0"/>
            </w:pPr>
            <w:r>
              <w:rPr>
                <w:b w:val="false"/>
                <w:bCs w:val="false"/>
                <w:sz w:val="19"/>
                <w:szCs w:val="19"/>
              </w:rPr>
              <w:t xml:space="preserve">3</w:t>
            </w:r>
          </w:p>
        </w:tc>
        <w:tc>
          <w:tcPr>
            <w:tcW w:type="dxa" w:w="1475"/>
            <w:tcMar>
              <w:top w:type="dxa" w:w="60"/>
              <w:left w:type="dxa" w:w="100"/>
              <w:bottom w:type="dxa" w:w="60"/>
              <w:right w:type="dxa" w:w="100"/>
            </w:tcMar>
            <w:vAlign w:val="center"/>
          </w:tcPr>
          <w:p>
            <w:pPr>
              <w:spacing w:after="0"/>
            </w:pPr>
            <w:r>
              <w:rPr>
                <w:b w:val="false"/>
                <w:bCs w:val="false"/>
                <w:sz w:val="19"/>
                <w:szCs w:val="19"/>
              </w:rPr>
              <w:t xml:space="preserve">3</w:t>
            </w:r>
          </w:p>
        </w:tc>
        <w:tc>
          <w:tcPr>
            <w:tcW w:type="dxa" w:w="1475"/>
            <w:tcMar>
              <w:top w:type="dxa" w:w="60"/>
              <w:left w:type="dxa" w:w="100"/>
              <w:bottom w:type="dxa" w:w="60"/>
              <w:right w:type="dxa" w:w="100"/>
            </w:tcMar>
            <w:vAlign w:val="center"/>
          </w:tcPr>
          <w:p>
            <w:pPr>
              <w:spacing w:after="0"/>
            </w:pPr>
            <w:r>
              <w:rPr>
                <w:b w:val="false"/>
                <w:bCs w:val="false"/>
                <w:sz w:val="19"/>
                <w:szCs w:val="19"/>
              </w:rPr>
              <w:t xml:space="preserve">3</w:t>
            </w:r>
          </w:p>
        </w:tc>
        <w:tc>
          <w:tcPr>
            <w:tcW w:type="dxa" w:w="1475"/>
            <w:tcMar>
              <w:top w:type="dxa" w:w="60"/>
              <w:left w:type="dxa" w:w="100"/>
              <w:bottom w:type="dxa" w:w="60"/>
              <w:right w:type="dxa" w:w="100"/>
            </w:tcMar>
            <w:vAlign w:val="center"/>
          </w:tcPr>
          <w:p>
            <w:pPr>
              <w:spacing w:after="0"/>
            </w:pPr>
            <w:r>
              <w:rPr>
                <w:b w:val="false"/>
                <w:bCs w:val="false"/>
                <w:sz w:val="19"/>
                <w:szCs w:val="19"/>
              </w:rPr>
              <w:t xml:space="preserve">2</w:t>
            </w:r>
          </w:p>
        </w:tc>
      </w:tr>
    </w:tbl>
    <w:p>
      <w:pPr>
        <w:spacing w:after="140" w:before="160" w:line="276"/>
        <w:jc w:val="both"/>
      </w:pPr>
      <w:r>
        <w:rPr>
          <w:b/>
          <w:bCs/>
        </w:rPr>
        <w:t xml:space="preserve">Détail des calculs</w:t>
      </w:r>
      <w:r>
        <w:rPr>
          <w:b w:val="false"/>
          <w:bCs w:val="false"/>
        </w:rPr>
        <w:t xml:space="preserve"> (Livraison = Ventes + Stock final visé − Stock initial) :</w:t>
      </w:r>
    </w:p>
    <w:p>
      <w:pPr>
        <w:pStyle w:val="ListParagraph"/>
        <w:numPr>
          <w:ilvl w:val="0"/>
          <w:numId w:val="2"/>
        </w:numPr>
        <w:spacing w:after="80" w:line="276"/>
        <w:jc w:val="both"/>
      </w:pPr>
      <w:r>
        <w:rPr>
          <w:b w:val="false"/>
          <w:bCs w:val="false"/>
        </w:rPr>
        <w:t xml:space="preserve">Juin : 8 + 3 − 2 = </w:t>
      </w:r>
      <w:r>
        <w:rPr>
          <w:b/>
          <w:bCs/>
        </w:rPr>
        <w:t xml:space="preserve">9 packs</w:t>
      </w:r>
      <w:r>
        <w:rPr>
          <w:b w:val="false"/>
          <w:bCs w:val="false"/>
        </w:rPr>
        <w:t xml:space="preserve"> ;</w:t>
      </w:r>
    </w:p>
    <w:p>
      <w:pPr>
        <w:pStyle w:val="ListParagraph"/>
        <w:numPr>
          <w:ilvl w:val="0"/>
          <w:numId w:val="2"/>
        </w:numPr>
        <w:spacing w:after="80" w:line="276"/>
        <w:jc w:val="both"/>
      </w:pPr>
      <w:r>
        <w:rPr>
          <w:b w:val="false"/>
          <w:bCs w:val="false"/>
        </w:rPr>
        <w:t xml:space="preserve">Juillet : 9 + 3 − 3 = </w:t>
      </w:r>
      <w:r>
        <w:rPr>
          <w:b/>
          <w:bCs/>
        </w:rPr>
        <w:t xml:space="preserve">9 packs</w:t>
      </w:r>
      <w:r>
        <w:rPr>
          <w:b w:val="false"/>
          <w:bCs w:val="false"/>
        </w:rPr>
        <w:t xml:space="preserve"> ;</w:t>
      </w:r>
    </w:p>
    <w:p>
      <w:pPr>
        <w:pStyle w:val="ListParagraph"/>
        <w:numPr>
          <w:ilvl w:val="0"/>
          <w:numId w:val="2"/>
        </w:numPr>
        <w:spacing w:after="80" w:line="276"/>
        <w:jc w:val="both"/>
      </w:pPr>
      <w:r>
        <w:rPr>
          <w:b w:val="false"/>
          <w:bCs w:val="false"/>
        </w:rPr>
        <w:t xml:space="preserve">Août : 10 + 3 − 3 = </w:t>
      </w:r>
      <w:r>
        <w:rPr>
          <w:b/>
          <w:bCs/>
        </w:rPr>
        <w:t xml:space="preserve">10 packs</w:t>
      </w:r>
      <w:r>
        <w:rPr>
          <w:b w:val="false"/>
          <w:bCs w:val="false"/>
        </w:rPr>
        <w:t xml:space="preserve"> ;</w:t>
      </w:r>
    </w:p>
    <w:p>
      <w:pPr>
        <w:pStyle w:val="ListParagraph"/>
        <w:numPr>
          <w:ilvl w:val="0"/>
          <w:numId w:val="2"/>
        </w:numPr>
        <w:spacing w:after="80" w:line="276"/>
        <w:jc w:val="both"/>
      </w:pPr>
      <w:r>
        <w:rPr>
          <w:b w:val="false"/>
          <w:bCs w:val="false"/>
        </w:rPr>
        <w:t xml:space="preserve">Septembre : 5 + 2 − 3 = </w:t>
      </w:r>
      <w:r>
        <w:rPr>
          <w:b/>
          <w:bCs/>
        </w:rPr>
        <w:t xml:space="preserve">4 packs</w:t>
      </w:r>
      <w:r>
        <w:rPr>
          <w:b w:val="false"/>
          <w:bCs w:val="false"/>
        </w:rPr>
        <w:t xml:space="preserve"> (le stock de sécurité revient à 2 packs pour octobre, la période de majoration s’achevant fin septembre).</w:t>
      </w:r>
    </w:p>
    <w:p>
      <w:pPr>
        <w:spacing w:after="140" w:before="0" w:line="276"/>
        <w:jc w:val="both"/>
      </w:pPr>
      <w:r>
        <w:rPr>
          <w:b/>
          <w:bCs/>
        </w:rPr>
        <w:t xml:space="preserve">Vérification</w:t>
      </w:r>
      <w:r>
        <w:rPr>
          <w:b w:val="false"/>
          <w:bCs w:val="false"/>
        </w:rPr>
        <w:t xml:space="preserve"> : total livré = 9 + 9 + 10 + 4 = 32 ; total vendu = 8 + 9 + 10 + 5 = 32 ; le stock passe de 2 à 2 (variation nulle) : 32 = 32 ✓.</w:t>
      </w:r>
    </w:p>
    <w:p>
      <w:pPr>
        <w:spacing w:after="140" w:before="0" w:line="276"/>
        <w:jc w:val="both"/>
      </w:pPr>
      <w:r>
        <w:rPr>
          <w:b/>
          <w:bCs/>
        </w:rPr>
        <w:t xml:space="preserve">Hypothèse alternative admise</w:t>
      </w:r>
      <w:r>
        <w:rPr>
          <w:b w:val="false"/>
          <w:bCs w:val="false"/>
        </w:rPr>
        <w:t xml:space="preserve"> : si l’on considère que le stock final de septembre doit rester à 3 packs (prudence avant octobre), la livraison de septembre est de 5 + 3 − 3 = 5 packs. L’essentiel est </w:t>
      </w:r>
      <w:r>
        <w:rPr>
          <w:b/>
          <w:bCs/>
        </w:rPr>
        <w:t xml:space="preserve">d’énoncer clairement l’hypothèse retenue</w:t>
      </w:r>
      <w:r>
        <w:rPr>
          <w:b w:val="false"/>
          <w:bCs w:val="false"/>
        </w:rPr>
        <w:t xml:space="preserve"> : le correcteur valorise la cohérence du raisonnement.</w:t>
      </w:r>
    </w:p>
    <w:p>
      <w:pPr>
        <w:pStyle w:val="Heading3"/>
        <w:spacing w:after="100" w:before="240"/>
      </w:pPr>
      <w:r>
        <w:rPr>
          <w:b/>
          <w:bCs/>
          <w:color w:val="C55A11"/>
          <w:sz w:val="23"/>
          <w:szCs w:val="23"/>
        </w:rPr>
        <w:t xml:space="preserve">Correction détaillée – les dates de commande</w:t>
      </w:r>
    </w:p>
    <w:tbl>
      <w:tblPr>
        <w:tblW w:type="dxa" w:w="9350"/>
        <w:jc w:val="center"/>
        <w:tblBorders>
          <w:top w:val="single" w:color="auto" w:sz="4"/>
          <w:left w:val="single" w:color="auto" w:sz="4"/>
          <w:bottom w:val="single" w:color="auto" w:sz="4"/>
          <w:right w:val="single" w:color="auto" w:sz="4"/>
          <w:insideH w:val="single" w:color="auto" w:sz="4"/>
          <w:insideV w:val="single" w:color="auto" w:sz="4"/>
        </w:tblBorders>
      </w:tblPr>
      <w:tblGrid>
        <w:gridCol w:w="4300"/>
        <w:gridCol w:w="1500"/>
        <w:gridCol w:w="3550"/>
      </w:tblGrid>
      <w:tr>
        <w:trPr>
          <w:tblHeader/>
        </w:trPr>
        <w:tc>
          <w:tcPr>
            <w:tcW w:type="dxa" w:w="43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Livraison souhaitée (1er jour ouvrable du mois)</w:t>
            </w:r>
          </w:p>
        </w:tc>
        <w:tc>
          <w:tcPr>
            <w:tcW w:type="dxa" w:w="15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Délai</w:t>
            </w:r>
          </w:p>
        </w:tc>
        <w:tc>
          <w:tcPr>
            <w:tcW w:type="dxa" w:w="35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Date de commande au plus tard</w:t>
            </w:r>
          </w:p>
        </w:tc>
      </w:tr>
      <w:tr>
        <w:tc>
          <w:tcPr>
            <w:tcW w:type="dxa" w:w="4300"/>
            <w:tcMar>
              <w:top w:type="dxa" w:w="60"/>
              <w:left w:type="dxa" w:w="100"/>
              <w:bottom w:type="dxa" w:w="60"/>
              <w:right w:type="dxa" w:w="100"/>
            </w:tcMar>
            <w:vAlign w:val="center"/>
          </w:tcPr>
          <w:p>
            <w:pPr>
              <w:spacing w:after="0"/>
              <w:jc w:val="center"/>
            </w:pPr>
            <w:r>
              <w:rPr>
                <w:b w:val="false"/>
                <w:bCs w:val="false"/>
                <w:sz w:val="19"/>
                <w:szCs w:val="19"/>
              </w:rPr>
              <w:t xml:space="preserve">Samedi 1er juin 2024</w:t>
            </w:r>
          </w:p>
        </w:tc>
        <w:tc>
          <w:tcPr>
            <w:tcW w:type="dxa" w:w="1500"/>
            <w:tcMar>
              <w:top w:type="dxa" w:w="60"/>
              <w:left w:type="dxa" w:w="100"/>
              <w:bottom w:type="dxa" w:w="60"/>
              <w:right w:type="dxa" w:w="100"/>
            </w:tcMar>
            <w:vAlign w:val="center"/>
          </w:tcPr>
          <w:p>
            <w:pPr>
              <w:spacing w:after="0"/>
              <w:jc w:val="center"/>
            </w:pPr>
            <w:r>
              <w:rPr>
                <w:b w:val="false"/>
                <w:bCs w:val="false"/>
                <w:sz w:val="19"/>
                <w:szCs w:val="19"/>
              </w:rPr>
              <w:t xml:space="preserve">2 semaines</w:t>
            </w:r>
          </w:p>
        </w:tc>
        <w:tc>
          <w:tcPr>
            <w:tcW w:type="dxa" w:w="3550"/>
            <w:tcMar>
              <w:top w:type="dxa" w:w="60"/>
              <w:left w:type="dxa" w:w="100"/>
              <w:bottom w:type="dxa" w:w="60"/>
              <w:right w:type="dxa" w:w="100"/>
            </w:tcMar>
            <w:vAlign w:val="center"/>
          </w:tcPr>
          <w:p>
            <w:pPr>
              <w:spacing w:after="0"/>
              <w:jc w:val="center"/>
            </w:pPr>
            <w:r>
              <w:rPr>
                <w:b w:val="false"/>
                <w:bCs w:val="false"/>
                <w:sz w:val="19"/>
                <w:szCs w:val="19"/>
              </w:rPr>
              <w:t xml:space="preserve">Samedi 18 mai 2024</w:t>
            </w:r>
          </w:p>
        </w:tc>
      </w:tr>
      <w:tr>
        <w:tc>
          <w:tcPr>
            <w:tcW w:type="dxa" w:w="4300"/>
            <w:tcMar>
              <w:top w:type="dxa" w:w="60"/>
              <w:left w:type="dxa" w:w="100"/>
              <w:bottom w:type="dxa" w:w="60"/>
              <w:right w:type="dxa" w:w="100"/>
            </w:tcMar>
            <w:vAlign w:val="center"/>
          </w:tcPr>
          <w:p>
            <w:pPr>
              <w:spacing w:after="0"/>
              <w:jc w:val="center"/>
            </w:pPr>
            <w:r>
              <w:rPr>
                <w:b w:val="false"/>
                <w:bCs w:val="false"/>
                <w:sz w:val="19"/>
                <w:szCs w:val="19"/>
              </w:rPr>
              <w:t xml:space="preserve">Lundi 1er juillet 2024</w:t>
            </w:r>
          </w:p>
        </w:tc>
        <w:tc>
          <w:tcPr>
            <w:tcW w:type="dxa" w:w="1500"/>
            <w:tcMar>
              <w:top w:type="dxa" w:w="60"/>
              <w:left w:type="dxa" w:w="100"/>
              <w:bottom w:type="dxa" w:w="60"/>
              <w:right w:type="dxa" w:w="100"/>
            </w:tcMar>
            <w:vAlign w:val="center"/>
          </w:tcPr>
          <w:p>
            <w:pPr>
              <w:spacing w:after="0"/>
              <w:jc w:val="center"/>
            </w:pPr>
            <w:r>
              <w:rPr>
                <w:b w:val="false"/>
                <w:bCs w:val="false"/>
                <w:sz w:val="19"/>
                <w:szCs w:val="19"/>
              </w:rPr>
              <w:t xml:space="preserve">2 semaines</w:t>
            </w:r>
          </w:p>
        </w:tc>
        <w:tc>
          <w:tcPr>
            <w:tcW w:type="dxa" w:w="3550"/>
            <w:tcMar>
              <w:top w:type="dxa" w:w="60"/>
              <w:left w:type="dxa" w:w="100"/>
              <w:bottom w:type="dxa" w:w="60"/>
              <w:right w:type="dxa" w:w="100"/>
            </w:tcMar>
            <w:vAlign w:val="center"/>
          </w:tcPr>
          <w:p>
            <w:pPr>
              <w:spacing w:after="0"/>
              <w:jc w:val="center"/>
            </w:pPr>
            <w:r>
              <w:rPr>
                <w:b w:val="false"/>
                <w:bCs w:val="false"/>
                <w:sz w:val="19"/>
                <w:szCs w:val="19"/>
              </w:rPr>
              <w:t xml:space="preserve">Lundi 17 juin 2024</w:t>
            </w:r>
          </w:p>
        </w:tc>
      </w:tr>
      <w:tr>
        <w:tc>
          <w:tcPr>
            <w:tcW w:type="dxa" w:w="4300"/>
            <w:tcMar>
              <w:top w:type="dxa" w:w="60"/>
              <w:left w:type="dxa" w:w="100"/>
              <w:bottom w:type="dxa" w:w="60"/>
              <w:right w:type="dxa" w:w="100"/>
            </w:tcMar>
            <w:vAlign w:val="center"/>
          </w:tcPr>
          <w:p>
            <w:pPr>
              <w:spacing w:after="0"/>
              <w:jc w:val="center"/>
            </w:pPr>
            <w:r>
              <w:rPr>
                <w:b w:val="false"/>
                <w:bCs w:val="false"/>
                <w:sz w:val="19"/>
                <w:szCs w:val="19"/>
              </w:rPr>
              <w:t xml:space="preserve">Jeudi 1er août 2024</w:t>
            </w:r>
          </w:p>
        </w:tc>
        <w:tc>
          <w:tcPr>
            <w:tcW w:type="dxa" w:w="1500"/>
            <w:tcMar>
              <w:top w:type="dxa" w:w="60"/>
              <w:left w:type="dxa" w:w="100"/>
              <w:bottom w:type="dxa" w:w="60"/>
              <w:right w:type="dxa" w:w="100"/>
            </w:tcMar>
            <w:vAlign w:val="center"/>
          </w:tcPr>
          <w:p>
            <w:pPr>
              <w:spacing w:after="0"/>
              <w:jc w:val="center"/>
            </w:pPr>
            <w:r>
              <w:rPr>
                <w:b w:val="false"/>
                <w:bCs w:val="false"/>
                <w:sz w:val="19"/>
                <w:szCs w:val="19"/>
              </w:rPr>
              <w:t xml:space="preserve">2 semaines</w:t>
            </w:r>
          </w:p>
        </w:tc>
        <w:tc>
          <w:tcPr>
            <w:tcW w:type="dxa" w:w="3550"/>
            <w:tcMar>
              <w:top w:type="dxa" w:w="60"/>
              <w:left w:type="dxa" w:w="100"/>
              <w:bottom w:type="dxa" w:w="60"/>
              <w:right w:type="dxa" w:w="100"/>
            </w:tcMar>
            <w:vAlign w:val="center"/>
          </w:tcPr>
          <w:p>
            <w:pPr>
              <w:spacing w:after="0"/>
              <w:jc w:val="center"/>
            </w:pPr>
            <w:r>
              <w:rPr>
                <w:b w:val="false"/>
                <w:bCs w:val="false"/>
                <w:sz w:val="19"/>
                <w:szCs w:val="19"/>
              </w:rPr>
              <w:t xml:space="preserve">Jeudi 18 juillet 2024</w:t>
            </w:r>
          </w:p>
        </w:tc>
      </w:tr>
      <w:tr>
        <w:tc>
          <w:tcPr>
            <w:tcW w:type="dxa" w:w="4300"/>
            <w:tcMar>
              <w:top w:type="dxa" w:w="60"/>
              <w:left w:type="dxa" w:w="100"/>
              <w:bottom w:type="dxa" w:w="60"/>
              <w:right w:type="dxa" w:w="100"/>
            </w:tcMar>
            <w:vAlign w:val="center"/>
          </w:tcPr>
          <w:p>
            <w:pPr>
              <w:spacing w:after="0"/>
              <w:jc w:val="center"/>
            </w:pPr>
            <w:r>
              <w:rPr>
                <w:b w:val="false"/>
                <w:bCs w:val="false"/>
                <w:sz w:val="19"/>
                <w:szCs w:val="19"/>
              </w:rPr>
              <w:t xml:space="preserve">Lundi 2 septembre 2024 (le 1er est un dimanche)</w:t>
            </w:r>
          </w:p>
        </w:tc>
        <w:tc>
          <w:tcPr>
            <w:tcW w:type="dxa" w:w="1500"/>
            <w:tcMar>
              <w:top w:type="dxa" w:w="60"/>
              <w:left w:type="dxa" w:w="100"/>
              <w:bottom w:type="dxa" w:w="60"/>
              <w:right w:type="dxa" w:w="100"/>
            </w:tcMar>
            <w:vAlign w:val="center"/>
          </w:tcPr>
          <w:p>
            <w:pPr>
              <w:spacing w:after="0"/>
              <w:jc w:val="center"/>
            </w:pPr>
            <w:r>
              <w:rPr>
                <w:b w:val="false"/>
                <w:bCs w:val="false"/>
                <w:sz w:val="19"/>
                <w:szCs w:val="19"/>
              </w:rPr>
              <w:t xml:space="preserve">2 semaines</w:t>
            </w:r>
          </w:p>
        </w:tc>
        <w:tc>
          <w:tcPr>
            <w:tcW w:type="dxa" w:w="3550"/>
            <w:tcMar>
              <w:top w:type="dxa" w:w="60"/>
              <w:left w:type="dxa" w:w="100"/>
              <w:bottom w:type="dxa" w:w="60"/>
              <w:right w:type="dxa" w:w="100"/>
            </w:tcMar>
            <w:vAlign w:val="center"/>
          </w:tcPr>
          <w:p>
            <w:pPr>
              <w:spacing w:after="0"/>
              <w:jc w:val="center"/>
            </w:pPr>
            <w:r>
              <w:rPr>
                <w:b w:val="false"/>
                <w:bCs w:val="false"/>
                <w:sz w:val="19"/>
                <w:szCs w:val="19"/>
              </w:rPr>
              <w:t xml:space="preserve">Lundi 19 août 2024</w:t>
            </w:r>
          </w:p>
        </w:tc>
      </w:tr>
    </w:tbl>
    <w:p>
      <w:pPr>
        <w:spacing w:after="140" w:before="160" w:line="276"/>
        <w:jc w:val="both"/>
      </w:pPr>
      <w:r>
        <w:rPr>
          <w:b w:val="false"/>
          <w:bCs w:val="false"/>
        </w:rPr>
        <w:t xml:space="preserve">Remarque : le samedi 1er juin est bien un jour </w:t>
      </w:r>
      <w:r>
        <w:rPr>
          <w:b/>
          <w:bCs/>
        </w:rPr>
        <w:t xml:space="preserve">ouvrable</w:t>
      </w:r>
      <w:r>
        <w:rPr>
          <w:b w:val="false"/>
          <w:bCs w:val="false"/>
        </w:rPr>
        <w:t xml:space="preserve"> (seul le dimanche ne l’est pas) ; en revanche, le dimanche 1er septembre ne l’est pas, d’où une livraison le lundi 2 septembre. Une copie qui retient des dates de commande « autour du 15 du mois précédent » avec la justification du délai de deux semaines obtient l’essentiel des points.</w:t>
      </w:r>
    </w:p>
    <w:p>
      <w:pPr>
        <w:pStyle w:val="Heading3"/>
        <w:spacing w:after="100" w:before="240"/>
      </w:pPr>
      <w:r>
        <w:rPr>
          <w:b/>
          <w:bCs/>
          <w:color w:val="C55A11"/>
          <w:sz w:val="23"/>
          <w:szCs w:val="23"/>
        </w:rPr>
        <w:t xml:space="preserve">Interprétation du résultat</w:t>
      </w:r>
    </w:p>
    <w:p>
      <w:pPr>
        <w:spacing w:after="140" w:before="0" w:line="276"/>
        <w:jc w:val="both"/>
      </w:pPr>
      <w:r>
        <w:rPr>
          <w:b w:val="false"/>
          <w:bCs w:val="false"/>
        </w:rPr>
        <w:t xml:space="preserve">Le programme sécurise la disponibilité du pack pendant toute la période des bons de réduction (validité jusqu’au 30 septembre) : à aucun moment le stock ne descend sous le seuil de sécurité, donc </w:t>
      </w:r>
      <w:r>
        <w:rPr>
          <w:b/>
          <w:bCs/>
        </w:rPr>
        <w:t xml:space="preserve">aucune vente ne devrait être perdue pour cause de rupture</w:t>
      </w:r>
      <w:r>
        <w:rPr>
          <w:b w:val="false"/>
          <w:bCs w:val="false"/>
        </w:rPr>
        <w:t xml:space="preserve"> — critique quand chaque vente pèse 2 500 € TTC. Le pic de livraison d’août (10 packs, soit environ 13 500 € HT d’achats) devra être anticipé en trésorerie. Enfin, la baisse de la livraison de septembre (4 packs) amorce le retour à un niveau de stock normal et évite un surstock de fin de saison, coûteux pour un produit saisonnier.</w:t>
      </w:r>
    </w:p>
    <w:p>
      <w:pPr>
        <w:pStyle w:val="Heading3"/>
        <w:spacing w:after="100" w:before="240"/>
      </w:pPr>
      <w:r>
        <w:rPr>
          <w:b/>
          <w:bCs/>
          <w:color w:val="C55A11"/>
          <w:sz w:val="23"/>
          <w:szCs w:val="23"/>
        </w:rPr>
        <w:t xml:space="preserve">Réponse rédigée attendue (modèle de copie)</w:t>
      </w:r>
    </w:p>
    <w:p>
      <w:pPr>
        <w:spacing w:after="140" w:before="0" w:line="276"/>
        <w:jc w:val="both"/>
      </w:pPr>
      <w:r>
        <w:rPr>
          <w:b w:val="false"/>
          <w:bCs w:val="false"/>
        </w:rPr>
        <w:t xml:space="preserve">« Le stock de sécurité, de 2 packs en période normale, est majoré de 50 % de juin à fin septembre, soit 2 × 1,5 = 3 packs. Chaque livraison devant couvrir les besoins jusqu’à la livraison suivante, la quantité livrée chaque mois se calcule ainsi : ventes prévues + stock final visé − stock initial. On obtient 9 packs en juin (8 + 3 − 2), 9 en juillet, 10 en août et 4 en septembre (5 + 2 − 3, le stock de sécurité revenant à 2 packs à compter d’octobre). Les livraisons ayant lieu le premier jour ouvrable du mois et le délai de livraison étant de deux semaines, les commandes devront être passées au plus tard le 18 mai (livraison samedi 1er juin), le 17 juin (livraison lundi 1er juillet), le 18 juillet (livraison jeudi 1er août) et le 19 août (livraison lundi 2 septembre, le 1er étant un dimanche). »</w:t>
      </w:r>
    </w:p>
    <w:p>
      <w:pPr>
        <w:pStyle w:val="Heading3"/>
        <w:spacing w:after="100" w:before="240"/>
      </w:pPr>
      <w:r>
        <w:rPr>
          <w:b/>
          <w:bCs/>
          <w:color w:val="C55A11"/>
          <w:sz w:val="23"/>
          <w:szCs w:val="23"/>
        </w:rPr>
        <w:t xml:space="preserve">Conseils du correcteur</w:t>
      </w:r>
    </w:p>
    <w:p>
      <w:pPr>
        <w:pBdr>
          <w:left w:val="single" w:color="C55A11" w:sz="16"/>
        </w:pBdr>
        <w:shd w:fill="FBF2E4" w:val="clear"/>
        <w:spacing w:after="140" w:before="100" w:line="276"/>
        <w:ind w:left="240" w:right="240"/>
        <w:jc w:val="both"/>
      </w:pPr>
      <w:r>
        <w:rPr>
          <w:b w:val="false"/>
          <w:bCs w:val="false"/>
          <w:i/>
          <w:iCs/>
          <w:color w:val="3B3B3B"/>
        </w:rPr>
        <w:t xml:space="preserve">Le tableau d’approvisionnement est un grand classique de l’épreuve E5 : il tombe presque une session sur deux, sous une forme ou une autre. Entraînez-vous à le construire en moins de dix minutes. Et n’oubliez pas la seconde partie de la consigne — les dates de commande — souvent zappée dans la précipitation alors qu’elle rapporte des points faciles.</w:t>
      </w:r>
    </w:p>
    <w:p>
      <w:pPr>
        <w:pStyle w:val="ListParagraph"/>
        <w:numPr>
          <w:ilvl w:val="0"/>
          <w:numId w:val="2"/>
        </w:numPr>
        <w:spacing w:after="80" w:line="276"/>
        <w:jc w:val="both"/>
      </w:pPr>
      <w:r>
        <w:rPr>
          <w:b/>
          <w:bCs/>
        </w:rPr>
        <w:t xml:space="preserve">Ce qui rapporte des points</w:t>
      </w:r>
      <w:r>
        <w:rPr>
          <w:b w:val="false"/>
          <w:bCs w:val="false"/>
        </w:rPr>
        <w:t xml:space="preserve"> : la majoration du stock de sécurité posée explicitement (2 × 1,5 = 3), l’enchaînement stock final → stock initial, la formule de la livraison, la vérification globale, l’hypothèse de septembre explicitée, et les quatre dates de commande justifiées par le délai.</w:t>
      </w:r>
    </w:p>
    <w:p>
      <w:pPr>
        <w:pStyle w:val="ListParagraph"/>
        <w:numPr>
          <w:ilvl w:val="0"/>
          <w:numId w:val="2"/>
        </w:numPr>
        <w:spacing w:after="80" w:line="276"/>
        <w:jc w:val="both"/>
      </w:pPr>
      <w:r>
        <w:rPr>
          <w:b/>
          <w:bCs/>
        </w:rPr>
        <w:t xml:space="preserve">Mots-clés</w:t>
      </w:r>
      <w:r>
        <w:rPr>
          <w:b w:val="false"/>
          <w:bCs w:val="false"/>
        </w:rPr>
        <w:t xml:space="preserve"> : programme (budget) d’approvisionnement, stock de sécurité, rupture de stock, surstock, délai de livraison, jour ouvrable, cadencier.</w:t>
      </w:r>
    </w:p>
    <w:p>
      <w:pPr>
        <w:pStyle w:val="ListParagraph"/>
        <w:numPr>
          <w:ilvl w:val="0"/>
          <w:numId w:val="2"/>
        </w:numPr>
        <w:spacing w:after="80" w:line="276"/>
        <w:jc w:val="both"/>
      </w:pPr>
      <w:r>
        <w:rPr>
          <w:b/>
          <w:bCs/>
        </w:rPr>
        <w:t xml:space="preserve">Temps conseillé</w:t>
      </w:r>
      <w:r>
        <w:rPr>
          <w:b w:val="false"/>
          <w:bCs w:val="false"/>
        </w:rPr>
        <w:t xml:space="preserve"> : 30 minutes.</w:t>
      </w:r>
    </w:p>
    <w:p>
      <w:pPr>
        <w:pStyle w:val="Heading3"/>
        <w:spacing w:after="100" w:before="240"/>
      </w:pPr>
      <w:r>
        <w:rPr>
          <w:b/>
          <w:bCs/>
          <w:color w:val="C55A11"/>
          <w:sz w:val="23"/>
          <w:szCs w:val="23"/>
        </w:rPr>
        <w:t xml:space="preserve">Les erreurs fréquentes à éviter</w:t>
      </w:r>
    </w:p>
    <w:p>
      <w:pPr>
        <w:pStyle w:val="ListParagraph"/>
        <w:numPr>
          <w:ilvl w:val="0"/>
          <w:numId w:val="2"/>
        </w:numPr>
        <w:spacing w:after="80" w:line="276"/>
        <w:jc w:val="both"/>
      </w:pPr>
      <w:r>
        <w:rPr>
          <w:b w:val="false"/>
          <w:bCs w:val="false"/>
        </w:rPr>
        <w:t xml:space="preserve">Oublier la majoration de 50 % du stock de sécurité, ou la calculer en ajoutant 50 % à chaque mois de façon cumulative ;</w:t>
      </w:r>
    </w:p>
    <w:p>
      <w:pPr>
        <w:pStyle w:val="ListParagraph"/>
        <w:numPr>
          <w:ilvl w:val="0"/>
          <w:numId w:val="2"/>
        </w:numPr>
        <w:spacing w:after="80" w:line="276"/>
        <w:jc w:val="both"/>
      </w:pPr>
      <w:r>
        <w:rPr>
          <w:b w:val="false"/>
          <w:bCs w:val="false"/>
        </w:rPr>
        <w:t xml:space="preserve">Rompre la chaîne des stocks (stock initial d’un mois ≠ stock final du mois précédent) ;</w:t>
      </w:r>
    </w:p>
    <w:p>
      <w:pPr>
        <w:pStyle w:val="ListParagraph"/>
        <w:numPr>
          <w:ilvl w:val="0"/>
          <w:numId w:val="2"/>
        </w:numPr>
        <w:spacing w:after="80" w:line="276"/>
        <w:jc w:val="both"/>
      </w:pPr>
      <w:r>
        <w:rPr>
          <w:b w:val="false"/>
          <w:bCs w:val="false"/>
        </w:rPr>
        <w:t xml:space="preserve">Calculer la livraison comme « ventes + stock de sécurité » en oubliant de </w:t>
      </w:r>
      <w:r>
        <w:rPr>
          <w:b/>
          <w:bCs/>
        </w:rPr>
        <w:t xml:space="preserve">retrancher le stock initial</w:t>
      </w:r>
      <w:r>
        <w:rPr>
          <w:b w:val="false"/>
          <w:bCs w:val="false"/>
        </w:rPr>
        <w:t xml:space="preserve"> ;</w:t>
      </w:r>
    </w:p>
    <w:p>
      <w:pPr>
        <w:pStyle w:val="ListParagraph"/>
        <w:numPr>
          <w:ilvl w:val="0"/>
          <w:numId w:val="2"/>
        </w:numPr>
        <w:spacing w:after="80" w:line="276"/>
        <w:jc w:val="both"/>
      </w:pPr>
      <w:r>
        <w:rPr>
          <w:b w:val="false"/>
          <w:bCs w:val="false"/>
        </w:rPr>
        <w:t xml:space="preserve">Ignorer la fin de la période de majoration pour septembre sans justifier le stock final retenu ;</w:t>
      </w:r>
    </w:p>
    <w:p>
      <w:pPr>
        <w:pStyle w:val="ListParagraph"/>
        <w:numPr>
          <w:ilvl w:val="0"/>
          <w:numId w:val="2"/>
        </w:numPr>
        <w:spacing w:after="80" w:line="276"/>
        <w:jc w:val="both"/>
      </w:pPr>
      <w:r>
        <w:rPr>
          <w:b w:val="false"/>
          <w:bCs w:val="false"/>
        </w:rPr>
        <w:t xml:space="preserve">Donner des dates de commande sans tenir compte des deux semaines de délai, ou considérer le dimanche 1er septembre comme jour ouvrable ;</w:t>
      </w:r>
    </w:p>
    <w:p>
      <w:pPr>
        <w:pStyle w:val="ListParagraph"/>
        <w:numPr>
          <w:ilvl w:val="0"/>
          <w:numId w:val="2"/>
        </w:numPr>
        <w:spacing w:after="80" w:line="276"/>
        <w:jc w:val="both"/>
      </w:pPr>
      <w:r>
        <w:rPr>
          <w:b w:val="false"/>
          <w:bCs w:val="false"/>
        </w:rPr>
        <w:t xml:space="preserve">Ne pas vérifier l’équilibre entrées / sorties du tableau.</w:t>
      </w:r>
    </w:p>
    <w:p>
      <w:pPr>
        <w:pStyle w:val="Heading3"/>
        <w:spacing w:after="100" w:before="240"/>
      </w:pPr>
      <w:r>
        <w:rPr>
          <w:b/>
          <w:bCs/>
          <w:color w:val="C55A11"/>
          <w:sz w:val="23"/>
          <w:szCs w:val="23"/>
        </w:rPr>
        <w:t xml:space="preserve">Exemple complémentaire pour vous entraîner</w:t>
      </w:r>
    </w:p>
    <w:p>
      <w:pPr>
        <w:spacing w:after="140" w:before="0" w:line="276"/>
        <w:jc w:val="both"/>
      </w:pPr>
      <w:r>
        <w:rPr>
          <w:b w:val="false"/>
          <w:bCs w:val="false"/>
        </w:rPr>
        <w:t xml:space="preserve">Un magasin prévoit de vendre 12, 15 et 9 vélos en avril, mai et juin. Stock au 31 mars : 4 ; stock de sécurité : 3 ; livraison le 1er de chaque mois. Établissez le programme.</w:t>
      </w:r>
    </w:p>
    <w:p>
      <w:pPr>
        <w:spacing w:after="140" w:before="0" w:line="276"/>
        <w:jc w:val="both"/>
      </w:pPr>
      <w:r>
        <w:rPr>
          <w:b/>
          <w:bCs/>
        </w:rPr>
        <w:t xml:space="preserve">Corrigé express</w:t>
      </w:r>
      <w:r>
        <w:rPr>
          <w:b w:val="false"/>
          <w:bCs w:val="false"/>
        </w:rPr>
        <w:t xml:space="preserve"> : avril : 12 + 3 − 4 = 11 ; mai : 15 + 3 − 3 = 15 ; juin : 9 + 3 − 3 = 9. Vérification : livré 35 = vendu 36 − déstockage 1 (le stock passe de 4 à 3) ✓.</w:t>
      </w:r>
    </w:p>
    <w:p>
      <w:pPr>
        <w:pStyle w:val="Heading3"/>
        <w:spacing w:after="100" w:before="240"/>
      </w:pPr>
      <w:r>
        <w:rPr>
          <w:b/>
          <w:bCs/>
          <w:color w:val="C55A11"/>
          <w:sz w:val="23"/>
          <w:szCs w:val="23"/>
        </w:rPr>
        <w:t xml:space="preserve">À retenir pour l’examen</w:t>
      </w:r>
    </w:p>
    <w:p>
      <w:pPr>
        <w:pBdr>
          <w:left w:val="single" w:color="375623" w:sz="16"/>
        </w:pBdr>
        <w:shd w:fill="E8F1E4" w:val="clear"/>
        <w:spacing w:after="140" w:before="100" w:line="276"/>
        <w:ind w:left="240" w:right="240"/>
        <w:jc w:val="both"/>
      </w:pPr>
      <w:r>
        <w:rPr>
          <w:b/>
          <w:bCs/>
        </w:rPr>
        <w:t xml:space="preserve">Livraison du mois = Ventes prévues + Stock de sécurité visé − Stock initial</w:t>
      </w:r>
      <w:r>
        <w:rPr>
          <w:b w:val="false"/>
          <w:bCs w:val="false"/>
        </w:rPr>
        <w:t xml:space="preserve">, avec un stock initial toujours égal au stock final précédent, et une date de commande = date de livraison − délai. Explicitez toujours vos hypothèses de bord de période.</w:t>
      </w:r>
    </w:p>
    <w:p>
      <w:r>
        <w:br w:type="page"/>
      </w:r>
    </w:p>
    <w:p>
      <w:pPr>
        <w:pStyle w:val="Heading2"/>
        <w:pBdr>
          <w:bottom w:val="single" w:color="2E5AA0" w:sz="6"/>
        </w:pBdr>
        <w:spacing w:after="140" w:before="300"/>
      </w:pPr>
      <w:r>
        <w:rPr>
          <w:b/>
          <w:bCs/>
          <w:color w:val="1F3864"/>
          <w:sz w:val="26"/>
          <w:szCs w:val="26"/>
        </w:rPr>
        <w:t xml:space="preserve">Question 2.3 – Estimer les ventes de packs rendant l’animation rentable et conclure sur la faisabilité</w:t>
      </w:r>
    </w:p>
    <w:p>
      <w:pPr>
        <w:pStyle w:val="Heading3"/>
        <w:spacing w:after="100" w:before="240"/>
      </w:pPr>
      <w:r>
        <w:rPr>
          <w:b/>
          <w:bCs/>
          <w:color w:val="C55A11"/>
          <w:sz w:val="23"/>
          <w:szCs w:val="23"/>
        </w:rPr>
        <w:t xml:space="preserve">Ce que la question vous demande</w:t>
      </w:r>
    </w:p>
    <w:p>
      <w:pPr>
        <w:spacing w:after="140" w:before="0" w:line="276"/>
        <w:jc w:val="both"/>
      </w:pPr>
      <w:r>
        <w:rPr>
          <w:b w:val="false"/>
          <w:bCs w:val="false"/>
        </w:rPr>
        <w:t xml:space="preserve">C’est la question de synthèse du dossier : un </w:t>
      </w:r>
      <w:r>
        <w:rPr>
          <w:b/>
          <w:bCs/>
        </w:rPr>
        <w:t xml:space="preserve">calcul de seuil de rentabilité appliqué à une animation commerciale</w:t>
      </w:r>
      <w:r>
        <w:rPr>
          <w:b w:val="false"/>
          <w:bCs w:val="false"/>
        </w:rPr>
        <w:t xml:space="preserve">. La rentabilité est évaluée « uniquement à partir des packs achetés à l’aide d’un bon de réduction Fly Away de 350 € ». Il faut donc :</w:t>
      </w:r>
    </w:p>
    <w:p>
      <w:pPr>
        <w:pStyle w:val="ListParagraph"/>
        <w:numPr>
          <w:ilvl w:val="0"/>
          <w:numId w:val="2"/>
        </w:numPr>
        <w:spacing w:after="80" w:line="276"/>
        <w:jc w:val="both"/>
      </w:pPr>
      <w:r>
        <w:rPr>
          <w:b w:val="false"/>
          <w:bCs w:val="false"/>
        </w:rPr>
        <w:t xml:space="preserve">chiffrer le </w:t>
      </w:r>
      <w:r>
        <w:rPr>
          <w:b/>
          <w:bCs/>
        </w:rPr>
        <w:t xml:space="preserve">coût total de l’animation</w:t>
      </w:r>
      <w:r>
        <w:rPr>
          <w:b w:val="false"/>
          <w:bCs w:val="false"/>
        </w:rPr>
        <w:t xml:space="preserve"> (annexe 8), en traitant correctement les charges patronales et la majoration des frais de camionnettes ;</w:t>
      </w:r>
    </w:p>
    <w:p>
      <w:pPr>
        <w:pStyle w:val="ListParagraph"/>
        <w:numPr>
          <w:ilvl w:val="0"/>
          <w:numId w:val="2"/>
        </w:numPr>
        <w:spacing w:after="80" w:line="276"/>
        <w:jc w:val="both"/>
      </w:pPr>
      <w:r>
        <w:rPr>
          <w:b w:val="false"/>
          <w:bCs w:val="false"/>
        </w:rPr>
        <w:t xml:space="preserve">déterminer la </w:t>
      </w:r>
      <w:r>
        <w:rPr>
          <w:b/>
          <w:bCs/>
        </w:rPr>
        <w:t xml:space="preserve">marge unitaire dégagée sur un pack vendu avec bon de réduction</w:t>
      </w:r>
      <w:r>
        <w:rPr>
          <w:b w:val="false"/>
          <w:bCs w:val="false"/>
        </w:rPr>
        <w:t xml:space="preserve"> (annexes 7 et 9 : prix d’achat 1 351,35 € HT, coefficient multiplicateur 1,85, bon de 350 € TTC) ;</w:t>
      </w:r>
    </w:p>
    <w:p>
      <w:pPr>
        <w:pStyle w:val="ListParagraph"/>
        <w:numPr>
          <w:ilvl w:val="0"/>
          <w:numId w:val="2"/>
        </w:numPr>
        <w:spacing w:after="80" w:line="276"/>
        <w:jc w:val="both"/>
      </w:pPr>
      <w:r>
        <w:rPr>
          <w:b w:val="false"/>
          <w:bCs w:val="false"/>
        </w:rPr>
        <w:t xml:space="preserve">en déduire le </w:t>
      </w:r>
      <w:r>
        <w:rPr>
          <w:b/>
          <w:bCs/>
        </w:rPr>
        <w:t xml:space="preserve">nombre minimal de packs</w:t>
      </w:r>
      <w:r>
        <w:rPr>
          <w:b w:val="false"/>
          <w:bCs w:val="false"/>
        </w:rPr>
        <w:t xml:space="preserve"> tel que la marge totale couvre le coût de l’animation ;</w:t>
      </w:r>
    </w:p>
    <w:p>
      <w:pPr>
        <w:pStyle w:val="ListParagraph"/>
        <w:numPr>
          <w:ilvl w:val="0"/>
          <w:numId w:val="2"/>
        </w:numPr>
        <w:spacing w:after="80" w:line="276"/>
        <w:jc w:val="both"/>
      </w:pPr>
      <w:r>
        <w:rPr>
          <w:b/>
          <w:bCs/>
        </w:rPr>
        <w:t xml:space="preserve">conclure sur la faisabilité</w:t>
      </w:r>
      <w:r>
        <w:rPr>
          <w:b w:val="false"/>
          <w:bCs w:val="false"/>
        </w:rPr>
        <w:t xml:space="preserve"> en confrontant ce seuil aux prévisions de ventes (4 packs supplémentaires en mai, ventes soutenues de juin à septembre pendant la validité des bons).</w:t>
      </w:r>
    </w:p>
    <w:p>
      <w:pPr>
        <w:spacing w:after="140" w:before="0" w:line="276"/>
        <w:jc w:val="both"/>
      </w:pPr>
      <w:r>
        <w:rPr>
          <w:b/>
          <w:bCs/>
        </w:rPr>
        <w:t xml:space="preserve">Pièges</w:t>
      </w:r>
      <w:r>
        <w:rPr>
          <w:b w:val="false"/>
          <w:bCs w:val="false"/>
        </w:rPr>
        <w:t xml:space="preserve"> : le coefficient multiplicateur donne un prix </w:t>
      </w:r>
      <w:r>
        <w:rPr>
          <w:b/>
          <w:bCs/>
        </w:rPr>
        <w:t xml:space="preserve">TTC</w:t>
      </w:r>
      <w:r>
        <w:rPr>
          <w:b w:val="false"/>
          <w:bCs w:val="false"/>
        </w:rPr>
        <w:t xml:space="preserve"> à partir d’un prix d’achat </w:t>
      </w:r>
      <w:r>
        <w:rPr>
          <w:b/>
          <w:bCs/>
        </w:rPr>
        <w:t xml:space="preserve">HT</w:t>
      </w:r>
      <w:r>
        <w:rPr>
          <w:b w:val="false"/>
          <w:bCs w:val="false"/>
        </w:rPr>
        <w:t xml:space="preserve"> (c’est écrit dans l’annexe 9, mais beaucoup de candidats l’oublient) ; le bon de 350 € est </w:t>
      </w:r>
      <w:r>
        <w:rPr>
          <w:b/>
          <w:bCs/>
        </w:rPr>
        <w:t xml:space="preserve">TTC</w:t>
      </w:r>
      <w:r>
        <w:rPr>
          <w:b w:val="false"/>
          <w:bCs w:val="false"/>
        </w:rPr>
        <w:t xml:space="preserve"> ; la marge se calcule en </w:t>
      </w:r>
      <w:r>
        <w:rPr>
          <w:b/>
          <w:bCs/>
        </w:rPr>
        <w:t xml:space="preserve">HT</w:t>
      </w:r>
      <w:r>
        <w:rPr>
          <w:b w:val="false"/>
          <w:bCs w:val="false"/>
        </w:rPr>
        <w:t xml:space="preserve"> ; le seuil s’arrondit à l’entier </w:t>
      </w:r>
      <w:r>
        <w:rPr>
          <w:b/>
          <w:bCs/>
        </w:rPr>
        <w:t xml:space="preserve">supérieur</w:t>
      </w:r>
      <w:r>
        <w:rPr>
          <w:b w:val="false"/>
          <w:bCs w:val="false"/>
        </w:rPr>
        <w:t xml:space="preserve">.</w:t>
      </w:r>
    </w:p>
    <w:p>
      <w:pPr>
        <w:pStyle w:val="Heading3"/>
        <w:spacing w:after="100" w:before="240"/>
      </w:pPr>
      <w:r>
        <w:rPr>
          <w:b/>
          <w:bCs/>
          <w:color w:val="C55A11"/>
          <w:sz w:val="23"/>
          <w:szCs w:val="23"/>
        </w:rPr>
        <w:t xml:space="preserve">Compétence et notion du référentiel mobilisées</w:t>
      </w:r>
    </w:p>
    <w:tbl>
      <w:tblPr>
        <w:tblW w:type="dxa" w:w="9350"/>
        <w:jc w:val="center"/>
        <w:tblBorders>
          <w:top w:val="single" w:color="auto" w:sz="4"/>
          <w:left w:val="single" w:color="auto" w:sz="4"/>
          <w:bottom w:val="single" w:color="auto" w:sz="4"/>
          <w:right w:val="single" w:color="auto" w:sz="4"/>
          <w:insideH w:val="single" w:color="auto" w:sz="4"/>
          <w:insideV w:val="single" w:color="auto" w:sz="4"/>
        </w:tblBorders>
      </w:tblPr>
      <w:tblGrid>
        <w:gridCol w:w="3100"/>
        <w:gridCol w:w="6250"/>
      </w:tblGrid>
      <w:tr>
        <w:trPr>
          <w:tblHeader/>
        </w:trPr>
        <w:tc>
          <w:tcPr>
            <w:tcW w:type="dxa" w:w="31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Élément du référentiel</w:t>
            </w:r>
          </w:p>
        </w:tc>
        <w:tc>
          <w:tcPr>
            <w:tcW w:type="dxa" w:w="62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Contenu</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Bloc de compétences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Bloc n° 3 « Assurer la gestion opérationnelle »</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Compétences évaluées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Analyser les performances » : analyser la rentabilité de l’activité ; « Gérer les opérations courantes » : fixer les prix</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Savoirs associés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Les coûts et les marges » (charges fixes et variables, évaluation d’un résultat et d’un seuil de rentabilité), « La fixation des prix » (les techniques de modulation des prix), « L’animation commerciale » (évaluation des performances des animations — savoir du bloc 2 mobilisé ici sous l’angle gestion)</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Critères d’évaluation activés</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 Les données quantitatives sont judicieusement mobilisées », « Les propositions de décision sont pertinentes », « Les mesures correctrices sont cohérentes »</w:t>
            </w:r>
          </w:p>
        </w:tc>
      </w:tr>
      <w:tr>
        <w:tc>
          <w:tcPr>
            <w:tcW w:type="dxa" w:w="3100"/>
            <w:tcMar>
              <w:top w:type="dxa" w:w="60"/>
              <w:left w:type="dxa" w:w="100"/>
              <w:bottom w:type="dxa" w:w="60"/>
              <w:right w:type="dxa" w:w="100"/>
            </w:tcMar>
            <w:vAlign w:val="center"/>
          </w:tcPr>
          <w:p>
            <w:pPr>
              <w:spacing w:after="0"/>
            </w:pPr>
            <w:r>
              <w:rPr>
                <w:b w:val="false"/>
                <w:bCs w:val="false"/>
                <w:sz w:val="19"/>
                <w:szCs w:val="19"/>
              </w:rPr>
              <w:t xml:space="preserve">Lien avec le métier</w:t>
            </w:r>
          </w:p>
        </w:tc>
        <w:tc>
          <w:tcPr>
            <w:tcW w:type="dxa" w:w="6250"/>
            <w:tcMar>
              <w:top w:type="dxa" w:w="60"/>
              <w:left w:type="dxa" w:w="100"/>
              <w:bottom w:type="dxa" w:w="60"/>
              <w:right w:type="dxa" w:w="100"/>
            </w:tcMar>
            <w:vAlign w:val="center"/>
          </w:tcPr>
          <w:p>
            <w:pPr>
              <w:spacing w:after="0"/>
            </w:pPr>
            <w:r>
              <w:rPr>
                <w:b w:val="false"/>
                <w:bCs w:val="false"/>
                <w:sz w:val="19"/>
                <w:szCs w:val="19"/>
              </w:rPr>
              <w:t xml:space="preserve">Toute animation a un coût : le manageur doit démontrer a priori sa rentabilité (et l’évaluer a posteriori). C’est exactement l’exercice demandé.</w:t>
            </w:r>
          </w:p>
        </w:tc>
      </w:tr>
    </w:tbl>
    <w:p>
      <w:pPr>
        <w:pStyle w:val="Heading3"/>
        <w:spacing w:after="100" w:before="240"/>
      </w:pPr>
      <w:r>
        <w:rPr>
          <w:b/>
          <w:bCs/>
          <w:color w:val="C55A11"/>
          <w:sz w:val="23"/>
          <w:szCs w:val="23"/>
        </w:rPr>
        <w:t xml:space="preserve">Rappel de cours</w:t>
      </w:r>
    </w:p>
    <w:p>
      <w:pPr>
        <w:spacing w:after="140" w:before="0" w:line="276"/>
        <w:jc w:val="both"/>
      </w:pPr>
      <w:r>
        <w:rPr>
          <w:b/>
          <w:bCs/>
        </w:rPr>
        <w:t xml:space="preserve">1. Le raisonnement en seuil de rentabilité.</w:t>
      </w:r>
      <w:r>
        <w:rPr>
          <w:b w:val="false"/>
          <w:bCs w:val="false"/>
        </w:rPr>
        <w:t xml:space="preserve"> Une opération est rentable lorsque la marge qu’elle génère couvre les coûts spécifiques qu’elle engendre. Les coûts de l’animation sont ici des </w:t>
      </w:r>
      <w:r>
        <w:rPr>
          <w:b/>
          <w:bCs/>
        </w:rPr>
        <w:t xml:space="preserve">charges fixes</w:t>
      </w:r>
      <w:r>
        <w:rPr>
          <w:b w:val="false"/>
          <w:bCs w:val="false"/>
        </w:rPr>
        <w:t xml:space="preserve"> (ils ne dépendent pas du nombre de packs vendus) ; chaque pack vendu apporte une </w:t>
      </w:r>
      <w:r>
        <w:rPr>
          <w:b/>
          <w:bCs/>
        </w:rPr>
        <w:t xml:space="preserve">marge unitaire</w:t>
      </w:r>
      <w:r>
        <w:rPr>
          <w:b w:val="false"/>
          <w:bCs w:val="false"/>
        </w:rPr>
        <w:t xml:space="preserve"> qui vient les absorber.</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Seuil (en quantité) = Coûts fixes de l’opération ÷ Marge unitaire    → arrondi à l’entier supérieur</w:t>
      </w:r>
    </w:p>
    <w:p>
      <w:pPr>
        <w:spacing w:after="140" w:before="0" w:line="276"/>
        <w:jc w:val="both"/>
      </w:pPr>
      <w:r>
        <w:rPr>
          <w:b/>
          <w:bCs/>
        </w:rPr>
        <w:t xml:space="preserve">2. Le coût du travail.</w:t>
      </w:r>
      <w:r>
        <w:rPr>
          <w:b w:val="false"/>
          <w:bCs w:val="false"/>
        </w:rPr>
        <w:t xml:space="preserve"> Un salaire « brut » ne représente pas le coût pour l’employeur : il faut y ajouter les </w:t>
      </w:r>
      <w:r>
        <w:rPr>
          <w:b/>
          <w:bCs/>
        </w:rPr>
        <w:t xml:space="preserve">charges patronales</w:t>
      </w:r>
      <w:r>
        <w:rPr>
          <w:b w:val="false"/>
          <w:bCs w:val="false"/>
        </w:rPr>
        <w:t xml:space="preserve">.</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Coût employeur = Salaire brut × (1 + taux de charges patronales)    → ici × 1,42</w:t>
      </w:r>
    </w:p>
    <w:p>
      <w:pPr>
        <w:spacing w:after="140" w:before="0" w:line="276"/>
        <w:jc w:val="both"/>
      </w:pPr>
      <w:r>
        <w:rPr>
          <w:b/>
          <w:bCs/>
        </w:rPr>
        <w:t xml:space="preserve">3. Le coefficient multiplicateur.</w:t>
      </w:r>
      <w:r>
        <w:rPr>
          <w:b w:val="false"/>
          <w:bCs w:val="false"/>
        </w:rPr>
        <w:t xml:space="preserve"> C’est un outil de fixation rapide du prix :</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PV TTC = Coût d’achat HT × coefficient multiplicateur    → ici PV TTC = 1 351,35 × 1,85</w:t>
      </w:r>
    </w:p>
    <w:p>
      <w:pPr>
        <w:spacing w:after="140" w:before="0" w:line="276"/>
        <w:jc w:val="both"/>
      </w:pPr>
      <w:r>
        <w:rPr>
          <w:b w:val="false"/>
          <w:bCs w:val="false"/>
        </w:rPr>
        <w:t xml:space="preserve">Il intègre à la fois la marge et la TVA, d’où sa valeur élevée. Ne le confondez pas avec (1 + taux de marge) : le coefficient part du HT et aboutit au TTC.</w:t>
      </w:r>
    </w:p>
    <w:p>
      <w:pPr>
        <w:spacing w:after="140" w:before="0" w:line="276"/>
        <w:jc w:val="both"/>
      </w:pPr>
      <w:r>
        <w:rPr>
          <w:b/>
          <w:bCs/>
        </w:rPr>
        <w:t xml:space="preserve">4. La marge en période de promotion.</w:t>
      </w:r>
      <w:r>
        <w:rPr>
          <w:b w:val="false"/>
          <w:bCs w:val="false"/>
        </w:rPr>
        <w:t xml:space="preserve"> Le bon de réduction diminue le prix payé par le client : la marge se calcule sur le </w:t>
      </w:r>
      <w:r>
        <w:rPr>
          <w:b/>
          <w:bCs/>
        </w:rPr>
        <w:t xml:space="preserve">prix effectivement encaissé</w:t>
      </w:r>
      <w:r>
        <w:rPr>
          <w:b w:val="false"/>
          <w:bCs w:val="false"/>
        </w:rPr>
        <w:t xml:space="preserve">, ramené en HT : Marge promo = (PV TTC − bon) ÷ 1,20 − coût d’achat HT.</w:t>
      </w:r>
    </w:p>
    <w:p>
      <w:pPr>
        <w:pStyle w:val="Heading3"/>
        <w:spacing w:after="100" w:before="240"/>
      </w:pPr>
      <w:r>
        <w:rPr>
          <w:b/>
          <w:bCs/>
          <w:color w:val="C55A11"/>
          <w:sz w:val="23"/>
          <w:szCs w:val="23"/>
        </w:rPr>
        <w:t xml:space="preserve">Méthode à appliquer</w:t>
      </w:r>
    </w:p>
    <w:p>
      <w:pPr>
        <w:pStyle w:val="ListParagraph"/>
        <w:numPr>
          <w:ilvl w:val="0"/>
          <w:numId w:val="2"/>
        </w:numPr>
        <w:spacing w:after="80" w:line="276"/>
        <w:jc w:val="both"/>
      </w:pPr>
      <w:r>
        <w:rPr>
          <w:b/>
          <w:bCs/>
        </w:rPr>
        <w:t xml:space="preserve">Étape 1</w:t>
      </w:r>
      <w:r>
        <w:rPr>
          <w:b w:val="false"/>
          <w:bCs w:val="false"/>
        </w:rPr>
        <w:t xml:space="preserve"> : lister et chiffrer un par un les coûts de l’annexe 8, en écartant ceux qui ne coûtent rien au magasin (communication négligeable, champion pris en charge par SFA).</w:t>
      </w:r>
    </w:p>
    <w:p>
      <w:pPr>
        <w:pStyle w:val="ListParagraph"/>
        <w:numPr>
          <w:ilvl w:val="0"/>
          <w:numId w:val="2"/>
        </w:numPr>
        <w:spacing w:after="80" w:line="276"/>
        <w:jc w:val="both"/>
      </w:pPr>
      <w:r>
        <w:rPr>
          <w:b/>
          <w:bCs/>
        </w:rPr>
        <w:t xml:space="preserve">Étape 2</w:t>
      </w:r>
      <w:r>
        <w:rPr>
          <w:b w:val="false"/>
          <w:bCs w:val="false"/>
        </w:rPr>
        <w:t xml:space="preserve"> : totaliser le coût de l’animation.</w:t>
      </w:r>
    </w:p>
    <w:p>
      <w:pPr>
        <w:pStyle w:val="ListParagraph"/>
        <w:numPr>
          <w:ilvl w:val="0"/>
          <w:numId w:val="2"/>
        </w:numPr>
        <w:spacing w:after="80" w:line="276"/>
        <w:jc w:val="both"/>
      </w:pPr>
      <w:r>
        <w:rPr>
          <w:b/>
          <w:bCs/>
        </w:rPr>
        <w:t xml:space="preserve">Étape 3</w:t>
      </w:r>
      <w:r>
        <w:rPr>
          <w:b w:val="false"/>
          <w:bCs w:val="false"/>
        </w:rPr>
        <w:t xml:space="preserve"> : calculer le prix de vente TTC normal du pack (coefficient), puis le prix promo (− 350 €), puis le prix promo HT (÷ 1,2), puis la marge unitaire (− 1 351,35).</w:t>
      </w:r>
    </w:p>
    <w:p>
      <w:pPr>
        <w:pStyle w:val="ListParagraph"/>
        <w:numPr>
          <w:ilvl w:val="0"/>
          <w:numId w:val="2"/>
        </w:numPr>
        <w:spacing w:after="80" w:line="276"/>
        <w:jc w:val="both"/>
      </w:pPr>
      <w:r>
        <w:rPr>
          <w:b/>
          <w:bCs/>
        </w:rPr>
        <w:t xml:space="preserve">Étape 4</w:t>
      </w:r>
      <w:r>
        <w:rPr>
          <w:b w:val="false"/>
          <w:bCs w:val="false"/>
        </w:rPr>
        <w:t xml:space="preserve"> : diviser le coût total par la marge unitaire et arrondir à l’entier supérieur.</w:t>
      </w:r>
    </w:p>
    <w:p>
      <w:pPr>
        <w:pStyle w:val="ListParagraph"/>
        <w:numPr>
          <w:ilvl w:val="0"/>
          <w:numId w:val="2"/>
        </w:numPr>
        <w:spacing w:after="80" w:line="276"/>
        <w:jc w:val="both"/>
      </w:pPr>
      <w:r>
        <w:rPr>
          <w:b/>
          <w:bCs/>
        </w:rPr>
        <w:t xml:space="preserve">Étape 5</w:t>
      </w:r>
      <w:r>
        <w:rPr>
          <w:b w:val="false"/>
          <w:bCs w:val="false"/>
        </w:rPr>
        <w:t xml:space="preserve"> : confronter le seuil aux prévisions et conclure sur la faisabilité.</w:t>
      </w:r>
    </w:p>
    <w:p>
      <w:pPr>
        <w:pStyle w:val="Heading3"/>
        <w:spacing w:after="100" w:before="240"/>
      </w:pPr>
      <w:r>
        <w:rPr>
          <w:b/>
          <w:bCs/>
          <w:color w:val="C55A11"/>
          <w:sz w:val="23"/>
          <w:szCs w:val="23"/>
        </w:rPr>
        <w:t xml:space="preserve">Correction détaillée – 1) Le coût de l’animation « Fly Away »</w:t>
      </w:r>
    </w:p>
    <w:tbl>
      <w:tblPr>
        <w:tblW w:type="dxa" w:w="9350"/>
        <w:jc w:val="center"/>
        <w:tblBorders>
          <w:top w:val="single" w:color="auto" w:sz="4"/>
          <w:left w:val="single" w:color="auto" w:sz="4"/>
          <w:bottom w:val="single" w:color="auto" w:sz="4"/>
          <w:right w:val="single" w:color="auto" w:sz="4"/>
          <w:insideH w:val="single" w:color="auto" w:sz="4"/>
          <w:insideV w:val="single" w:color="auto" w:sz="4"/>
        </w:tblBorders>
      </w:tblPr>
      <w:tblGrid>
        <w:gridCol w:w="4300"/>
        <w:gridCol w:w="2650"/>
        <w:gridCol w:w="2400"/>
      </w:tblGrid>
      <w:tr>
        <w:trPr>
          <w:tblHeader/>
        </w:trPr>
        <w:tc>
          <w:tcPr>
            <w:tcW w:type="dxa" w:w="43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Poste (annexe 8)</w:t>
            </w:r>
          </w:p>
        </w:tc>
        <w:tc>
          <w:tcPr>
            <w:tcW w:type="dxa" w:w="26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Calcul</w:t>
            </w:r>
          </w:p>
        </w:tc>
        <w:tc>
          <w:tcPr>
            <w:tcW w:type="dxa" w:w="24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Montant (€ HT)</w:t>
            </w:r>
          </w:p>
        </w:tc>
      </w:tr>
      <w:tr>
        <w:tc>
          <w:tcPr>
            <w:tcW w:type="dxa" w:w="4300"/>
            <w:tcMar>
              <w:top w:type="dxa" w:w="60"/>
              <w:left w:type="dxa" w:w="100"/>
              <w:bottom w:type="dxa" w:w="60"/>
              <w:right w:type="dxa" w:w="100"/>
            </w:tcMar>
            <w:vAlign w:val="center"/>
          </w:tcPr>
          <w:p>
            <w:pPr>
              <w:spacing w:after="0"/>
            </w:pPr>
            <w:r>
              <w:rPr>
                <w:b w:val="false"/>
                <w:bCs w:val="false"/>
                <w:sz w:val="19"/>
                <w:szCs w:val="19"/>
              </w:rPr>
              <w:t xml:space="preserve">Location tente-barnum (1 journée)</w:t>
            </w:r>
          </w:p>
        </w:tc>
        <w:tc>
          <w:tcPr>
            <w:tcW w:type="dxa" w:w="2650"/>
            <w:tcMar>
              <w:top w:type="dxa" w:w="60"/>
              <w:left w:type="dxa" w:w="100"/>
              <w:bottom w:type="dxa" w:w="60"/>
              <w:right w:type="dxa" w:w="100"/>
            </w:tcMar>
            <w:vAlign w:val="center"/>
          </w:tcPr>
          <w:p>
            <w:pPr>
              <w:spacing w:after="0"/>
            </w:pPr>
            <w:r>
              <w:rPr>
                <w:b w:val="false"/>
                <w:bCs w:val="false"/>
                <w:sz w:val="19"/>
                <w:szCs w:val="19"/>
              </w:rPr>
              <w:t xml:space="preserve">donné</w:t>
            </w:r>
          </w:p>
        </w:tc>
        <w:tc>
          <w:tcPr>
            <w:tcW w:type="dxa" w:w="2400"/>
            <w:tcMar>
              <w:top w:type="dxa" w:w="60"/>
              <w:left w:type="dxa" w:w="100"/>
              <w:bottom w:type="dxa" w:w="60"/>
              <w:right w:type="dxa" w:w="100"/>
            </w:tcMar>
            <w:vAlign w:val="center"/>
          </w:tcPr>
          <w:p>
            <w:pPr>
              <w:spacing w:after="0"/>
            </w:pPr>
            <w:r>
              <w:rPr>
                <w:b w:val="false"/>
                <w:bCs w:val="false"/>
                <w:sz w:val="19"/>
                <w:szCs w:val="19"/>
              </w:rPr>
              <w:t xml:space="preserve">50,00</w:t>
            </w:r>
          </w:p>
        </w:tc>
      </w:tr>
      <w:tr>
        <w:tc>
          <w:tcPr>
            <w:tcW w:type="dxa" w:w="4300"/>
            <w:tcMar>
              <w:top w:type="dxa" w:w="60"/>
              <w:left w:type="dxa" w:w="100"/>
              <w:bottom w:type="dxa" w:w="60"/>
              <w:right w:type="dxa" w:w="100"/>
            </w:tcMar>
            <w:vAlign w:val="center"/>
          </w:tcPr>
          <w:p>
            <w:pPr>
              <w:spacing w:after="0"/>
            </w:pPr>
            <w:r>
              <w:rPr>
                <w:b w:val="false"/>
                <w:bCs w:val="false"/>
                <w:sz w:val="19"/>
                <w:szCs w:val="19"/>
              </w:rPr>
              <w:t xml:space="preserve">PLV (affiches, kakemono...)</w:t>
            </w:r>
          </w:p>
        </w:tc>
        <w:tc>
          <w:tcPr>
            <w:tcW w:type="dxa" w:w="2650"/>
            <w:tcMar>
              <w:top w:type="dxa" w:w="60"/>
              <w:left w:type="dxa" w:w="100"/>
              <w:bottom w:type="dxa" w:w="60"/>
              <w:right w:type="dxa" w:w="100"/>
            </w:tcMar>
            <w:vAlign w:val="center"/>
          </w:tcPr>
          <w:p>
            <w:pPr>
              <w:spacing w:after="0"/>
            </w:pPr>
            <w:r>
              <w:rPr>
                <w:b w:val="false"/>
                <w:bCs w:val="false"/>
                <w:sz w:val="19"/>
                <w:szCs w:val="19"/>
              </w:rPr>
              <w:t xml:space="preserve">donné</w:t>
            </w:r>
          </w:p>
        </w:tc>
        <w:tc>
          <w:tcPr>
            <w:tcW w:type="dxa" w:w="2400"/>
            <w:tcMar>
              <w:top w:type="dxa" w:w="60"/>
              <w:left w:type="dxa" w:w="100"/>
              <w:bottom w:type="dxa" w:w="60"/>
              <w:right w:type="dxa" w:w="100"/>
            </w:tcMar>
            <w:vAlign w:val="center"/>
          </w:tcPr>
          <w:p>
            <w:pPr>
              <w:spacing w:after="0"/>
            </w:pPr>
            <w:r>
              <w:rPr>
                <w:b w:val="false"/>
                <w:bCs w:val="false"/>
                <w:sz w:val="19"/>
                <w:szCs w:val="19"/>
              </w:rPr>
              <w:t xml:space="preserve">150,00</w:t>
            </w:r>
          </w:p>
        </w:tc>
      </w:tr>
      <w:tr>
        <w:tc>
          <w:tcPr>
            <w:tcW w:type="dxa" w:w="4300"/>
            <w:tcMar>
              <w:top w:type="dxa" w:w="60"/>
              <w:left w:type="dxa" w:w="100"/>
              <w:bottom w:type="dxa" w:w="60"/>
              <w:right w:type="dxa" w:w="100"/>
            </w:tcMar>
            <w:vAlign w:val="center"/>
          </w:tcPr>
          <w:p>
            <w:pPr>
              <w:spacing w:after="0"/>
            </w:pPr>
            <w:r>
              <w:rPr>
                <w:b w:val="false"/>
                <w:bCs w:val="false"/>
                <w:sz w:val="19"/>
                <w:szCs w:val="19"/>
              </w:rPr>
              <w:t xml:space="preserve">Trois encadrants (8 h, 12 € bruts/h, charges patronales 42 %)</w:t>
            </w:r>
          </w:p>
        </w:tc>
        <w:tc>
          <w:tcPr>
            <w:tcW w:type="dxa" w:w="2650"/>
            <w:tcMar>
              <w:top w:type="dxa" w:w="60"/>
              <w:left w:type="dxa" w:w="100"/>
              <w:bottom w:type="dxa" w:w="60"/>
              <w:right w:type="dxa" w:w="100"/>
            </w:tcMar>
            <w:vAlign w:val="center"/>
          </w:tcPr>
          <w:p>
            <w:pPr>
              <w:spacing w:after="0"/>
            </w:pPr>
            <w:r>
              <w:rPr>
                <w:b w:val="false"/>
                <w:bCs w:val="false"/>
                <w:sz w:val="19"/>
                <w:szCs w:val="19"/>
              </w:rPr>
              <w:t xml:space="preserve">3 × 8 × 12 × 1,42</w:t>
            </w:r>
          </w:p>
        </w:tc>
        <w:tc>
          <w:tcPr>
            <w:tcW w:type="dxa" w:w="2400"/>
            <w:tcMar>
              <w:top w:type="dxa" w:w="60"/>
              <w:left w:type="dxa" w:w="100"/>
              <w:bottom w:type="dxa" w:w="60"/>
              <w:right w:type="dxa" w:w="100"/>
            </w:tcMar>
            <w:vAlign w:val="center"/>
          </w:tcPr>
          <w:p>
            <w:pPr>
              <w:spacing w:after="0"/>
            </w:pPr>
            <w:r>
              <w:rPr>
                <w:b w:val="false"/>
                <w:bCs w:val="false"/>
                <w:sz w:val="19"/>
                <w:szCs w:val="19"/>
              </w:rPr>
              <w:t xml:space="preserve">408,96</w:t>
            </w:r>
          </w:p>
        </w:tc>
      </w:tr>
      <w:tr>
        <w:tc>
          <w:tcPr>
            <w:tcW w:type="dxa" w:w="4300"/>
            <w:tcMar>
              <w:top w:type="dxa" w:w="60"/>
              <w:left w:type="dxa" w:w="100"/>
              <w:bottom w:type="dxa" w:w="60"/>
              <w:right w:type="dxa" w:w="100"/>
            </w:tcMar>
            <w:vAlign w:val="center"/>
          </w:tcPr>
          <w:p>
            <w:pPr>
              <w:spacing w:after="0"/>
            </w:pPr>
            <w:r>
              <w:rPr>
                <w:b w:val="false"/>
                <w:bCs w:val="false"/>
                <w:sz w:val="19"/>
                <w:szCs w:val="19"/>
              </w:rPr>
              <w:t xml:space="preserve">Communication externe (site, réseaux sociaux)</w:t>
            </w:r>
          </w:p>
        </w:tc>
        <w:tc>
          <w:tcPr>
            <w:tcW w:type="dxa" w:w="2650"/>
            <w:tcMar>
              <w:top w:type="dxa" w:w="60"/>
              <w:left w:type="dxa" w:w="100"/>
              <w:bottom w:type="dxa" w:w="60"/>
              <w:right w:type="dxa" w:w="100"/>
            </w:tcMar>
            <w:vAlign w:val="center"/>
          </w:tcPr>
          <w:p>
            <w:pPr>
              <w:spacing w:after="0"/>
            </w:pPr>
            <w:r>
              <w:rPr>
                <w:b w:val="false"/>
                <w:bCs w:val="false"/>
                <w:sz w:val="19"/>
                <w:szCs w:val="19"/>
              </w:rPr>
              <w:t xml:space="preserve">négligeable</w:t>
            </w:r>
          </w:p>
        </w:tc>
        <w:tc>
          <w:tcPr>
            <w:tcW w:type="dxa" w:w="2400"/>
            <w:tcMar>
              <w:top w:type="dxa" w:w="60"/>
              <w:left w:type="dxa" w:w="100"/>
              <w:bottom w:type="dxa" w:w="60"/>
              <w:right w:type="dxa" w:w="100"/>
            </w:tcMar>
            <w:vAlign w:val="center"/>
          </w:tcPr>
          <w:p>
            <w:pPr>
              <w:spacing w:after="0"/>
            </w:pPr>
            <w:r>
              <w:rPr>
                <w:b w:val="false"/>
                <w:bCs w:val="false"/>
                <w:sz w:val="19"/>
                <w:szCs w:val="19"/>
              </w:rPr>
              <w:t xml:space="preserve">0,00</w:t>
            </w:r>
          </w:p>
        </w:tc>
      </w:tr>
      <w:tr>
        <w:tc>
          <w:tcPr>
            <w:tcW w:type="dxa" w:w="4300"/>
            <w:tcMar>
              <w:top w:type="dxa" w:w="60"/>
              <w:left w:type="dxa" w:w="100"/>
              <w:bottom w:type="dxa" w:w="60"/>
              <w:right w:type="dxa" w:w="100"/>
            </w:tcMar>
            <w:vAlign w:val="center"/>
          </w:tcPr>
          <w:p>
            <w:pPr>
              <w:spacing w:after="0"/>
            </w:pPr>
            <w:r>
              <w:rPr>
                <w:b w:val="false"/>
                <w:bCs w:val="false"/>
                <w:sz w:val="19"/>
                <w:szCs w:val="19"/>
              </w:rPr>
              <w:t xml:space="preserve">Deux camionnettes (90 €/jour) majorées d’un tiers (déplacement A/R)</w:t>
            </w:r>
          </w:p>
        </w:tc>
        <w:tc>
          <w:tcPr>
            <w:tcW w:type="dxa" w:w="2650"/>
            <w:tcMar>
              <w:top w:type="dxa" w:w="60"/>
              <w:left w:type="dxa" w:w="100"/>
              <w:bottom w:type="dxa" w:w="60"/>
              <w:right w:type="dxa" w:w="100"/>
            </w:tcMar>
            <w:vAlign w:val="center"/>
          </w:tcPr>
          <w:p>
            <w:pPr>
              <w:spacing w:after="0"/>
            </w:pPr>
            <w:r>
              <w:rPr>
                <w:b w:val="false"/>
                <w:bCs w:val="false"/>
                <w:sz w:val="19"/>
                <w:szCs w:val="19"/>
              </w:rPr>
              <w:t xml:space="preserve">(2 × 90) × 4/3</w:t>
            </w:r>
          </w:p>
        </w:tc>
        <w:tc>
          <w:tcPr>
            <w:tcW w:type="dxa" w:w="2400"/>
            <w:tcMar>
              <w:top w:type="dxa" w:w="60"/>
              <w:left w:type="dxa" w:w="100"/>
              <w:bottom w:type="dxa" w:w="60"/>
              <w:right w:type="dxa" w:w="100"/>
            </w:tcMar>
            <w:vAlign w:val="center"/>
          </w:tcPr>
          <w:p>
            <w:pPr>
              <w:spacing w:after="0"/>
            </w:pPr>
            <w:r>
              <w:rPr>
                <w:b w:val="false"/>
                <w:bCs w:val="false"/>
                <w:sz w:val="19"/>
                <w:szCs w:val="19"/>
              </w:rPr>
              <w:t xml:space="preserve">240,00</w:t>
            </w:r>
          </w:p>
        </w:tc>
      </w:tr>
      <w:tr>
        <w:tc>
          <w:tcPr>
            <w:tcW w:type="dxa" w:w="4300"/>
            <w:tcMar>
              <w:top w:type="dxa" w:w="60"/>
              <w:left w:type="dxa" w:w="100"/>
              <w:bottom w:type="dxa" w:w="60"/>
              <w:right w:type="dxa" w:w="100"/>
            </w:tcMar>
            <w:vAlign w:val="center"/>
          </w:tcPr>
          <w:p>
            <w:pPr>
              <w:spacing w:after="0"/>
            </w:pPr>
            <w:r>
              <w:rPr>
                <w:b w:val="false"/>
                <w:bCs w:val="false"/>
                <w:sz w:val="19"/>
                <w:szCs w:val="19"/>
              </w:rPr>
              <w:t xml:space="preserve">Frais divers</w:t>
            </w:r>
          </w:p>
        </w:tc>
        <w:tc>
          <w:tcPr>
            <w:tcW w:type="dxa" w:w="2650"/>
            <w:tcMar>
              <w:top w:type="dxa" w:w="60"/>
              <w:left w:type="dxa" w:w="100"/>
              <w:bottom w:type="dxa" w:w="60"/>
              <w:right w:type="dxa" w:w="100"/>
            </w:tcMar>
            <w:vAlign w:val="center"/>
          </w:tcPr>
          <w:p>
            <w:pPr>
              <w:spacing w:after="0"/>
            </w:pPr>
            <w:r>
              <w:rPr>
                <w:b w:val="false"/>
                <w:bCs w:val="false"/>
                <w:sz w:val="19"/>
                <w:szCs w:val="19"/>
              </w:rPr>
              <w:t xml:space="preserve">donné</w:t>
            </w:r>
          </w:p>
        </w:tc>
        <w:tc>
          <w:tcPr>
            <w:tcW w:type="dxa" w:w="2400"/>
            <w:tcMar>
              <w:top w:type="dxa" w:w="60"/>
              <w:left w:type="dxa" w:w="100"/>
              <w:bottom w:type="dxa" w:w="60"/>
              <w:right w:type="dxa" w:w="100"/>
            </w:tcMar>
            <w:vAlign w:val="center"/>
          </w:tcPr>
          <w:p>
            <w:pPr>
              <w:spacing w:after="0"/>
            </w:pPr>
            <w:r>
              <w:rPr>
                <w:b w:val="false"/>
                <w:bCs w:val="false"/>
                <w:sz w:val="19"/>
                <w:szCs w:val="19"/>
              </w:rPr>
              <w:t xml:space="preserve">133,50</w:t>
            </w:r>
          </w:p>
        </w:tc>
      </w:tr>
      <w:tr>
        <w:tc>
          <w:tcPr>
            <w:tcW w:type="dxa" w:w="4300"/>
            <w:tcMar>
              <w:top w:type="dxa" w:w="60"/>
              <w:left w:type="dxa" w:w="100"/>
              <w:bottom w:type="dxa" w:w="60"/>
              <w:right w:type="dxa" w:w="100"/>
            </w:tcMar>
            <w:vAlign w:val="center"/>
          </w:tcPr>
          <w:p>
            <w:pPr>
              <w:spacing w:after="0"/>
            </w:pPr>
            <w:r>
              <w:rPr>
                <w:b w:val="false"/>
                <w:bCs w:val="false"/>
                <w:sz w:val="19"/>
                <w:szCs w:val="19"/>
              </w:rPr>
              <w:t xml:space="preserve">Repas offerts (13 € × 35 participants prévus)</w:t>
            </w:r>
          </w:p>
        </w:tc>
        <w:tc>
          <w:tcPr>
            <w:tcW w:type="dxa" w:w="2650"/>
            <w:tcMar>
              <w:top w:type="dxa" w:w="60"/>
              <w:left w:type="dxa" w:w="100"/>
              <w:bottom w:type="dxa" w:w="60"/>
              <w:right w:type="dxa" w:w="100"/>
            </w:tcMar>
            <w:vAlign w:val="center"/>
          </w:tcPr>
          <w:p>
            <w:pPr>
              <w:spacing w:after="0"/>
            </w:pPr>
            <w:r>
              <w:rPr>
                <w:b w:val="false"/>
                <w:bCs w:val="false"/>
                <w:sz w:val="19"/>
                <w:szCs w:val="19"/>
              </w:rPr>
              <w:t xml:space="preserve">13 × 35</w:t>
            </w:r>
          </w:p>
        </w:tc>
        <w:tc>
          <w:tcPr>
            <w:tcW w:type="dxa" w:w="2400"/>
            <w:tcMar>
              <w:top w:type="dxa" w:w="60"/>
              <w:left w:type="dxa" w:w="100"/>
              <w:bottom w:type="dxa" w:w="60"/>
              <w:right w:type="dxa" w:w="100"/>
            </w:tcMar>
            <w:vAlign w:val="center"/>
          </w:tcPr>
          <w:p>
            <w:pPr>
              <w:spacing w:after="0"/>
            </w:pPr>
            <w:r>
              <w:rPr>
                <w:b w:val="false"/>
                <w:bCs w:val="false"/>
                <w:sz w:val="19"/>
                <w:szCs w:val="19"/>
              </w:rPr>
              <w:t xml:space="preserve">455,00</w:t>
            </w:r>
          </w:p>
        </w:tc>
      </w:tr>
      <w:tr>
        <w:tc>
          <w:tcPr>
            <w:tcW w:type="dxa" w:w="4300"/>
            <w:tcMar>
              <w:top w:type="dxa" w:w="60"/>
              <w:left w:type="dxa" w:w="100"/>
              <w:bottom w:type="dxa" w:w="60"/>
              <w:right w:type="dxa" w:w="100"/>
            </w:tcMar>
            <w:vAlign w:val="center"/>
          </w:tcPr>
          <w:p>
            <w:pPr>
              <w:spacing w:after="0"/>
            </w:pPr>
            <w:r>
              <w:rPr>
                <w:b w:val="false"/>
                <w:bCs w:val="false"/>
                <w:sz w:val="19"/>
                <w:szCs w:val="19"/>
              </w:rPr>
              <w:t xml:space="preserve">Venue du champion du monde</w:t>
            </w:r>
          </w:p>
        </w:tc>
        <w:tc>
          <w:tcPr>
            <w:tcW w:type="dxa" w:w="2650"/>
            <w:tcMar>
              <w:top w:type="dxa" w:w="60"/>
              <w:left w:type="dxa" w:w="100"/>
              <w:bottom w:type="dxa" w:w="60"/>
              <w:right w:type="dxa" w:w="100"/>
            </w:tcMar>
            <w:vAlign w:val="center"/>
          </w:tcPr>
          <w:p>
            <w:pPr>
              <w:spacing w:after="0"/>
            </w:pPr>
            <w:r>
              <w:rPr>
                <w:b w:val="false"/>
                <w:bCs w:val="false"/>
                <w:sz w:val="19"/>
                <w:szCs w:val="19"/>
              </w:rPr>
              <w:t xml:space="preserve">prise en charge par SFA</w:t>
            </w:r>
          </w:p>
        </w:tc>
        <w:tc>
          <w:tcPr>
            <w:tcW w:type="dxa" w:w="2400"/>
            <w:tcMar>
              <w:top w:type="dxa" w:w="60"/>
              <w:left w:type="dxa" w:w="100"/>
              <w:bottom w:type="dxa" w:w="60"/>
              <w:right w:type="dxa" w:w="100"/>
            </w:tcMar>
            <w:vAlign w:val="center"/>
          </w:tcPr>
          <w:p>
            <w:pPr>
              <w:spacing w:after="0"/>
            </w:pPr>
            <w:r>
              <w:rPr>
                <w:b w:val="false"/>
                <w:bCs w:val="false"/>
                <w:sz w:val="19"/>
                <w:szCs w:val="19"/>
              </w:rPr>
              <w:t xml:space="preserve">0,00</w:t>
            </w:r>
          </w:p>
        </w:tc>
      </w:tr>
      <w:tr>
        <w:tc>
          <w:tcPr>
            <w:tcW w:type="dxa" w:w="4300"/>
            <w:shd w:fill="DCE6F1" w:val="clear"/>
            <w:tcMar>
              <w:top w:type="dxa" w:w="60"/>
              <w:left w:type="dxa" w:w="100"/>
              <w:bottom w:type="dxa" w:w="60"/>
              <w:right w:type="dxa" w:w="100"/>
            </w:tcMar>
            <w:vAlign w:val="center"/>
          </w:tcPr>
          <w:p>
            <w:pPr>
              <w:spacing w:after="0"/>
            </w:pPr>
            <w:r>
              <w:rPr>
                <w:b/>
                <w:bCs/>
                <w:sz w:val="19"/>
                <w:szCs w:val="19"/>
              </w:rPr>
              <w:t xml:space="preserve">Coût total de l’animation</w:t>
            </w:r>
          </w:p>
        </w:tc>
        <w:tc>
          <w:tcPr>
            <w:tcW w:type="dxa" w:w="2650"/>
            <w:shd w:fill="DCE6F1" w:val="clear"/>
            <w:tcMar>
              <w:top w:type="dxa" w:w="60"/>
              <w:left w:type="dxa" w:w="100"/>
              <w:bottom w:type="dxa" w:w="60"/>
              <w:right w:type="dxa" w:w="100"/>
            </w:tcMar>
            <w:vAlign w:val="center"/>
          </w:tcPr>
          <w:p>
            <w:pPr>
              <w:spacing w:after="0"/>
            </w:pPr>
          </w:p>
        </w:tc>
        <w:tc>
          <w:tcPr>
            <w:tcW w:type="dxa" w:w="2400"/>
            <w:shd w:fill="DCE6F1" w:val="clear"/>
            <w:tcMar>
              <w:top w:type="dxa" w:w="60"/>
              <w:left w:type="dxa" w:w="100"/>
              <w:bottom w:type="dxa" w:w="60"/>
              <w:right w:type="dxa" w:w="100"/>
            </w:tcMar>
            <w:vAlign w:val="center"/>
          </w:tcPr>
          <w:p>
            <w:pPr>
              <w:spacing w:after="0"/>
            </w:pPr>
            <w:r>
              <w:rPr>
                <w:b/>
                <w:bCs/>
                <w:sz w:val="19"/>
                <w:szCs w:val="19"/>
              </w:rPr>
              <w:t xml:space="preserve">1 437,46</w:t>
            </w:r>
          </w:p>
        </w:tc>
      </w:tr>
    </w:tbl>
    <w:p>
      <w:pPr>
        <w:pStyle w:val="Heading3"/>
        <w:spacing w:after="100" w:before="240"/>
      </w:pPr>
      <w:r>
        <w:rPr>
          <w:b/>
          <w:bCs/>
          <w:color w:val="C55A11"/>
          <w:sz w:val="23"/>
          <w:szCs w:val="23"/>
        </w:rPr>
        <w:t xml:space="preserve">Correction détaillée – 2) La marge unitaire sur un pack vendu avec bon</w:t>
      </w:r>
    </w:p>
    <w:p>
      <w:pPr>
        <w:pStyle w:val="ListParagraph"/>
        <w:numPr>
          <w:ilvl w:val="0"/>
          <w:numId w:val="2"/>
        </w:numPr>
        <w:spacing w:after="80" w:line="276"/>
        <w:jc w:val="both"/>
      </w:pPr>
      <w:r>
        <w:rPr>
          <w:b w:val="false"/>
          <w:bCs w:val="false"/>
        </w:rPr>
        <w:t xml:space="preserve">Prix de vente TTC hors promotion = 1 351,35 × 1,85 = 2 499,9975 ≈ </w:t>
      </w:r>
      <w:r>
        <w:rPr>
          <w:b/>
          <w:bCs/>
        </w:rPr>
        <w:t xml:space="preserve">2 500,00 € TTC</w:t>
      </w:r>
      <w:r>
        <w:rPr>
          <w:b w:val="false"/>
          <w:bCs w:val="false"/>
        </w:rPr>
        <w:t xml:space="preserve"> ;</w:t>
      </w:r>
    </w:p>
    <w:p>
      <w:pPr>
        <w:pStyle w:val="ListParagraph"/>
        <w:numPr>
          <w:ilvl w:val="0"/>
          <w:numId w:val="2"/>
        </w:numPr>
        <w:spacing w:after="80" w:line="276"/>
        <w:jc w:val="both"/>
      </w:pPr>
      <w:r>
        <w:rPr>
          <w:b w:val="false"/>
          <w:bCs w:val="false"/>
        </w:rPr>
        <w:t xml:space="preserve">Prix payé avec le bon « Fly Away » = 2 500 − 350 = </w:t>
      </w:r>
      <w:r>
        <w:rPr>
          <w:b/>
          <w:bCs/>
        </w:rPr>
        <w:t xml:space="preserve">2 150,00 € TTC</w:t>
      </w:r>
      <w:r>
        <w:rPr>
          <w:b w:val="false"/>
          <w:bCs w:val="false"/>
        </w:rPr>
        <w:t xml:space="preserve"> ;</w:t>
      </w:r>
    </w:p>
    <w:p>
      <w:pPr>
        <w:pStyle w:val="ListParagraph"/>
        <w:numPr>
          <w:ilvl w:val="0"/>
          <w:numId w:val="2"/>
        </w:numPr>
        <w:spacing w:after="80" w:line="276"/>
        <w:jc w:val="both"/>
      </w:pPr>
      <w:r>
        <w:rPr>
          <w:b w:val="false"/>
          <w:bCs w:val="false"/>
        </w:rPr>
        <w:t xml:space="preserve">Prix de vente HT en promotion = 2 150 ÷ 1,20 = </w:t>
      </w:r>
      <w:r>
        <w:rPr>
          <w:b/>
          <w:bCs/>
        </w:rPr>
        <w:t xml:space="preserve">1 791,67 € HT</w:t>
      </w:r>
      <w:r>
        <w:rPr>
          <w:b w:val="false"/>
          <w:bCs w:val="false"/>
        </w:rPr>
        <w:t xml:space="preserve"> ;</w:t>
      </w:r>
    </w:p>
    <w:p>
      <w:pPr>
        <w:pStyle w:val="ListParagraph"/>
        <w:numPr>
          <w:ilvl w:val="0"/>
          <w:numId w:val="2"/>
        </w:numPr>
        <w:spacing w:after="80" w:line="276"/>
        <w:jc w:val="both"/>
      </w:pPr>
      <w:r>
        <w:rPr>
          <w:b w:val="false"/>
          <w:bCs w:val="false"/>
        </w:rPr>
        <w:t xml:space="preserve">Marge unitaire = 1 791,67 − 1 351,35 = </w:t>
      </w:r>
      <w:r>
        <w:rPr>
          <w:b/>
          <w:bCs/>
        </w:rPr>
        <w:t xml:space="preserve">440,32 € par pack</w:t>
      </w:r>
      <w:r>
        <w:rPr>
          <w:b w:val="false"/>
          <w:bCs w:val="false"/>
        </w:rPr>
        <w:t xml:space="preserve">.</w:t>
      </w:r>
    </w:p>
    <w:p>
      <w:pPr>
        <w:pStyle w:val="Heading3"/>
        <w:spacing w:after="100" w:before="240"/>
      </w:pPr>
      <w:r>
        <w:rPr>
          <w:b/>
          <w:bCs/>
          <w:color w:val="C55A11"/>
          <w:sz w:val="23"/>
          <w:szCs w:val="23"/>
        </w:rPr>
        <w:t xml:space="preserve">Correction détaillée – 3) Le seuil de rentabilité de l’animation</w:t>
      </w:r>
    </w:p>
    <w:p>
      <w:pPr>
        <w:spacing w:after="140" w:before="0" w:line="276"/>
        <w:jc w:val="both"/>
      </w:pPr>
      <w:r>
        <w:rPr>
          <w:b w:val="false"/>
          <w:bCs w:val="false"/>
        </w:rPr>
        <w:t xml:space="preserve">Nombre minimal de packs n tel que n × 440,32 ≥ 1 437,46 :</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n ≥ 1 437,46 ÷ 440,32 = 3,26    →    n = 4 packs (entier supérieur)</w:t>
      </w:r>
    </w:p>
    <w:p>
      <w:pPr>
        <w:spacing w:after="140" w:before="0" w:line="276"/>
        <w:jc w:val="both"/>
      </w:pPr>
      <w:r>
        <w:rPr>
          <w:b w:val="false"/>
          <w:bCs w:val="false"/>
        </w:rPr>
        <w:t xml:space="preserve">L’animation devient rentable </w:t>
      </w:r>
      <w:r>
        <w:rPr>
          <w:b/>
          <w:bCs/>
        </w:rPr>
        <w:t xml:space="preserve">à partir de 4 packs vendus avec un bon de réduction « Fly Away »</w:t>
      </w:r>
      <w:r>
        <w:rPr>
          <w:b w:val="false"/>
          <w:bCs w:val="false"/>
        </w:rPr>
        <w:t xml:space="preserve">. Vérification : 4 × 440,32 = 1 761,28 € de marge &gt; 1 437,46 € de coûts (excédent de 323,82 €) ; 3 packs ne suffiraient pas (1 320,96 € &lt; 1 437,46 €).</w:t>
      </w:r>
    </w:p>
    <w:p>
      <w:pPr>
        <w:pStyle w:val="Heading3"/>
        <w:spacing w:after="100" w:before="240"/>
      </w:pPr>
      <w:r>
        <w:rPr>
          <w:b/>
          <w:bCs/>
          <w:color w:val="C55A11"/>
          <w:sz w:val="23"/>
          <w:szCs w:val="23"/>
        </w:rPr>
        <w:t xml:space="preserve">Interprétation du résultat et conclusion sur la faisabilité</w:t>
      </w:r>
    </w:p>
    <w:p>
      <w:pPr>
        <w:spacing w:after="140" w:before="0" w:line="276"/>
        <w:jc w:val="both"/>
      </w:pPr>
      <w:r>
        <w:rPr>
          <w:b w:val="false"/>
          <w:bCs w:val="false"/>
        </w:rPr>
        <w:t xml:space="preserve">Le seuil de 4 packs est </w:t>
      </w:r>
      <w:r>
        <w:rPr>
          <w:b/>
          <w:bCs/>
        </w:rPr>
        <w:t xml:space="preserve">très accessible</w:t>
      </w:r>
      <w:r>
        <w:rPr>
          <w:b w:val="false"/>
          <w:bCs w:val="false"/>
        </w:rPr>
        <w:t xml:space="preserve"> :</w:t>
      </w:r>
    </w:p>
    <w:p>
      <w:pPr>
        <w:pStyle w:val="ListParagraph"/>
        <w:numPr>
          <w:ilvl w:val="0"/>
          <w:numId w:val="2"/>
        </w:numPr>
        <w:spacing w:after="80" w:line="276"/>
        <w:jc w:val="both"/>
      </w:pPr>
      <w:r>
        <w:rPr>
          <w:b w:val="false"/>
          <w:bCs w:val="false"/>
        </w:rPr>
        <w:t xml:space="preserve">la note de Thomas Martin prévoit précisément </w:t>
      </w:r>
      <w:r>
        <w:rPr>
          <w:b/>
          <w:bCs/>
        </w:rPr>
        <w:t xml:space="preserve">4 packs supplémentaires</w:t>
      </w:r>
      <w:r>
        <w:rPr>
          <w:b w:val="false"/>
          <w:bCs w:val="false"/>
        </w:rPr>
        <w:t xml:space="preserve"> vendus grâce à l’animation dès le mois de mai : à elles seules, ces ventes atteignent le seuil ;</w:t>
      </w:r>
    </w:p>
    <w:p>
      <w:pPr>
        <w:pStyle w:val="ListParagraph"/>
        <w:numPr>
          <w:ilvl w:val="0"/>
          <w:numId w:val="2"/>
        </w:numPr>
        <w:spacing w:after="80" w:line="276"/>
        <w:jc w:val="both"/>
      </w:pPr>
      <w:r>
        <w:rPr>
          <w:b w:val="false"/>
          <w:bCs w:val="false"/>
        </w:rPr>
        <w:t xml:space="preserve">les bons sont </w:t>
      </w:r>
      <w:r>
        <w:rPr>
          <w:b/>
          <w:bCs/>
        </w:rPr>
        <w:t xml:space="preserve">valables du 18 mai au 30 septembre</w:t>
      </w:r>
      <w:r>
        <w:rPr>
          <w:b w:val="false"/>
          <w:bCs w:val="false"/>
        </w:rPr>
        <w:t xml:space="preserve"> : les ventes prévues de juin à septembre (8 + 9 + 10 + 5 = 32 packs), dopées par la distribution des bons, offriront d’autres ventes « avec bon » — chacune ajoutant 440,32 € de marge ;</w:t>
      </w:r>
    </w:p>
    <w:p>
      <w:pPr>
        <w:pStyle w:val="ListParagraph"/>
        <w:numPr>
          <w:ilvl w:val="0"/>
          <w:numId w:val="2"/>
        </w:numPr>
        <w:spacing w:after="80" w:line="276"/>
        <w:jc w:val="both"/>
      </w:pPr>
      <w:r>
        <w:rPr>
          <w:b w:val="false"/>
          <w:bCs w:val="false"/>
        </w:rPr>
        <w:t xml:space="preserve">l’opération produit en outre des </w:t>
      </w:r>
      <w:r>
        <w:rPr>
          <w:b/>
          <w:bCs/>
        </w:rPr>
        <w:t xml:space="preserve">retombées non chiffrées</w:t>
      </w:r>
      <w:r>
        <w:rPr>
          <w:b w:val="false"/>
          <w:bCs w:val="false"/>
        </w:rPr>
        <w:t xml:space="preserve"> : notoriété (venue d’un champion du monde, communication Facebook), trafic en magasin, ventes additionnelles sur les autres produits de l’univers nautique, collecte de contacts clients.</w:t>
      </w:r>
    </w:p>
    <w:p>
      <w:pPr>
        <w:spacing w:after="140" w:before="0" w:line="276"/>
        <w:jc w:val="both"/>
      </w:pPr>
      <w:r>
        <w:rPr>
          <w:b/>
          <w:bCs/>
        </w:rPr>
        <w:t xml:space="preserve">Conclusion professionnelle</w:t>
      </w:r>
      <w:r>
        <w:rPr>
          <w:b w:val="false"/>
          <w:bCs w:val="false"/>
        </w:rPr>
        <w:t xml:space="preserve"> : l’animation « Fly Away » est </w:t>
      </w:r>
      <w:r>
        <w:rPr>
          <w:b/>
          <w:bCs/>
        </w:rPr>
        <w:t xml:space="preserve">faisable et doit être engagée</w:t>
      </w:r>
      <w:r>
        <w:rPr>
          <w:b w:val="false"/>
          <w:bCs w:val="false"/>
        </w:rPr>
        <w:t xml:space="preserve"> : son point mort (4 packs) est inférieur ou égal aux seules ventes additionnelles attendues en mai, et le partenariat avec SFA (prise en charge du champion) limite fortement le risque financier. Point de vigilance : la rentabilité étant mesurée sur les seuls packs « avec bon », il faudra tracer ces ventes (enregistrement des bons en caisse) pour évaluer l’opération a posteriori.</w:t>
      </w:r>
    </w:p>
    <w:p>
      <w:pPr>
        <w:pStyle w:val="Heading3"/>
        <w:spacing w:after="100" w:before="240"/>
      </w:pPr>
      <w:r>
        <w:rPr>
          <w:b/>
          <w:bCs/>
          <w:color w:val="C55A11"/>
          <w:sz w:val="23"/>
          <w:szCs w:val="23"/>
        </w:rPr>
        <w:t xml:space="preserve">Réponse rédigée attendue (modèle de copie)</w:t>
      </w:r>
    </w:p>
    <w:p>
      <w:pPr>
        <w:spacing w:after="140" w:before="0" w:line="276"/>
        <w:jc w:val="both"/>
      </w:pPr>
      <w:r>
        <w:rPr>
          <w:b w:val="false"/>
          <w:bCs w:val="false"/>
        </w:rPr>
        <w:t xml:space="preserve">« Le coût de l’animation s’élève à 1 437,46 € : location du barnum 50 €, PLV 150 €, encadrants 3 × 8 × 12 × 1,42 = 408,96 €, camionnettes (2 × 90) × 4/3 = 240 €, frais divers 133,50 € et repas 13 × 35 = 455 €, la communication étant négligeable et le champion pris en charge par le fournisseur.</w:t>
      </w:r>
    </w:p>
    <w:p>
      <w:pPr>
        <w:spacing w:after="140" w:before="0" w:line="276"/>
        <w:jc w:val="both"/>
      </w:pPr>
      <w:r>
        <w:rPr>
          <w:b w:val="false"/>
          <w:bCs w:val="false"/>
        </w:rPr>
        <w:t xml:space="preserve">Le pack est vendu hors promotion 1 351,35 × 1,85 = 2 500 € TTC. Avec le bon « Fly Away », le client paie 2 150 € TTC, soit 1 791,67 € HT, ce qui laisse une marge unitaire de 1 791,67 − 1 351,35 = 440,32 €.</w:t>
      </w:r>
    </w:p>
    <w:p>
      <w:pPr>
        <w:spacing w:after="140" w:before="0" w:line="276"/>
        <w:jc w:val="both"/>
      </w:pPr>
      <w:r>
        <w:rPr>
          <w:b w:val="false"/>
          <w:bCs w:val="false"/>
        </w:rPr>
        <w:t xml:space="preserve">L’animation est rentable dès que la marge couvre son coût : 1 437,46 ÷ 440,32 = 3,26, soit 4 packs vendus avec bon de réduction. Ce seuil est inférieur ou égal aux 4 ventes supplémentaires attendues dès le mois de mai grâce à la venue du champion, sans compter les ventes avec bon possibles jusqu’au 30 septembre et les retombées d’image et de trafic. L’opération « Fly Away » est donc rentable et sa mise en œuvre est recommandée. »</w:t>
      </w:r>
    </w:p>
    <w:p>
      <w:pPr>
        <w:pStyle w:val="Heading3"/>
        <w:spacing w:after="100" w:before="240"/>
      </w:pPr>
      <w:r>
        <w:rPr>
          <w:b/>
          <w:bCs/>
          <w:color w:val="C55A11"/>
          <w:sz w:val="23"/>
          <w:szCs w:val="23"/>
        </w:rPr>
        <w:t xml:space="preserve">Conseils du correcteur</w:t>
      </w:r>
    </w:p>
    <w:p>
      <w:pPr>
        <w:pBdr>
          <w:left w:val="single" w:color="C55A11" w:sz="16"/>
        </w:pBdr>
        <w:shd w:fill="FBF2E4" w:val="clear"/>
        <w:spacing w:after="140" w:before="100" w:line="276"/>
        <w:ind w:left="240" w:right="240"/>
        <w:jc w:val="both"/>
      </w:pPr>
      <w:r>
        <w:rPr>
          <w:b w:val="false"/>
          <w:bCs w:val="false"/>
          <w:i/>
          <w:iCs/>
          <w:color w:val="3B3B3B"/>
        </w:rPr>
        <w:t xml:space="preserve">Ici, attention : le correcteur ne vous demande pas seulement un nombre de packs. La consigne dit « estimez... et concluez sur la faisabilité ». Une copie qui s’arrête à « n = 4 » laisse sur la table les points de la conclusion — souvent un quart des points de la question. Confrontez toujours votre seuil aux prévisions du sujet.</w:t>
      </w:r>
    </w:p>
    <w:p>
      <w:pPr>
        <w:pStyle w:val="ListParagraph"/>
        <w:numPr>
          <w:ilvl w:val="0"/>
          <w:numId w:val="2"/>
        </w:numPr>
        <w:spacing w:after="80" w:line="276"/>
        <w:jc w:val="both"/>
      </w:pPr>
      <w:r>
        <w:rPr>
          <w:b/>
          <w:bCs/>
        </w:rPr>
        <w:t xml:space="preserve">Ce qui rapporte des points</w:t>
      </w:r>
      <w:r>
        <w:rPr>
          <w:b w:val="false"/>
          <w:bCs w:val="false"/>
        </w:rPr>
        <w:t xml:space="preserve"> : un tableau de coûts complet et justifié (avec les deux postes à 0 € explicitement écartés), le traitement des charges patronales (× 1,42) et de la majoration d’un tiers (× 4/3), la chaîne coefficient → TTC → promo → HT → marge, l’arrondi à l’entier supérieur, la vérification, et la conclusion argumentée.</w:t>
      </w:r>
    </w:p>
    <w:p>
      <w:pPr>
        <w:pStyle w:val="ListParagraph"/>
        <w:numPr>
          <w:ilvl w:val="0"/>
          <w:numId w:val="2"/>
        </w:numPr>
        <w:spacing w:after="80" w:line="276"/>
        <w:jc w:val="both"/>
      </w:pPr>
      <w:r>
        <w:rPr>
          <w:b/>
          <w:bCs/>
        </w:rPr>
        <w:t xml:space="preserve">Mots-clés</w:t>
      </w:r>
      <w:r>
        <w:rPr>
          <w:b w:val="false"/>
          <w:bCs w:val="false"/>
        </w:rPr>
        <w:t xml:space="preserve"> : seuil de rentabilité, charges fixes, marge unitaire, coefficient multiplicateur, charges patronales, point mort, retombées commerciales, faisabilité.</w:t>
      </w:r>
    </w:p>
    <w:p>
      <w:pPr>
        <w:pStyle w:val="ListParagraph"/>
        <w:numPr>
          <w:ilvl w:val="0"/>
          <w:numId w:val="2"/>
        </w:numPr>
        <w:spacing w:after="80" w:line="276"/>
        <w:jc w:val="both"/>
      </w:pPr>
      <w:r>
        <w:rPr>
          <w:b/>
          <w:bCs/>
        </w:rPr>
        <w:t xml:space="preserve">Temps conseillé</w:t>
      </w:r>
      <w:r>
        <w:rPr>
          <w:b w:val="false"/>
          <w:bCs w:val="false"/>
        </w:rPr>
        <w:t xml:space="preserve"> : 30 minutes.</w:t>
      </w:r>
    </w:p>
    <w:p>
      <w:pPr>
        <w:pStyle w:val="Heading3"/>
        <w:spacing w:after="100" w:before="240"/>
      </w:pPr>
      <w:r>
        <w:rPr>
          <w:b/>
          <w:bCs/>
          <w:color w:val="C55A11"/>
          <w:sz w:val="23"/>
          <w:szCs w:val="23"/>
        </w:rPr>
        <w:t xml:space="preserve">Les erreurs fréquentes à éviter</w:t>
      </w:r>
    </w:p>
    <w:p>
      <w:pPr>
        <w:pStyle w:val="ListParagraph"/>
        <w:numPr>
          <w:ilvl w:val="0"/>
          <w:numId w:val="2"/>
        </w:numPr>
        <w:spacing w:after="80" w:line="276"/>
        <w:jc w:val="both"/>
      </w:pPr>
      <w:r>
        <w:rPr>
          <w:b w:val="false"/>
          <w:bCs w:val="false"/>
        </w:rPr>
        <w:t xml:space="preserve">Oublier les charges patronales (coût encadrants à 288 € au lieu de 408,96 €) ou les appliquer aussi aux autres postes ;</w:t>
      </w:r>
    </w:p>
    <w:p>
      <w:pPr>
        <w:pStyle w:val="ListParagraph"/>
        <w:numPr>
          <w:ilvl w:val="0"/>
          <w:numId w:val="2"/>
        </w:numPr>
        <w:spacing w:after="80" w:line="276"/>
        <w:jc w:val="both"/>
      </w:pPr>
      <w:r>
        <w:rPr>
          <w:b w:val="false"/>
          <w:bCs w:val="false"/>
        </w:rPr>
        <w:t xml:space="preserve">Majorer d’un tiers une seule camionnette, ou ajouter 1/3 « de journée » au lieu d’un tiers du coût de location ;</w:t>
      </w:r>
    </w:p>
    <w:p>
      <w:pPr>
        <w:pStyle w:val="ListParagraph"/>
        <w:numPr>
          <w:ilvl w:val="0"/>
          <w:numId w:val="2"/>
        </w:numPr>
        <w:spacing w:after="80" w:line="276"/>
        <w:jc w:val="both"/>
      </w:pPr>
      <w:r>
        <w:rPr>
          <w:b w:val="false"/>
          <w:bCs w:val="false"/>
        </w:rPr>
        <w:t xml:space="preserve">Compter le repas pour 3 encadrants au lieu des 35 participants prévus, ou inclure un coût pour le champion ;</w:t>
      </w:r>
    </w:p>
    <w:p>
      <w:pPr>
        <w:pStyle w:val="ListParagraph"/>
        <w:numPr>
          <w:ilvl w:val="0"/>
          <w:numId w:val="2"/>
        </w:numPr>
        <w:spacing w:after="80" w:line="276"/>
        <w:jc w:val="both"/>
      </w:pPr>
      <w:r>
        <w:rPr>
          <w:b w:val="false"/>
          <w:bCs w:val="false"/>
        </w:rPr>
        <w:t xml:space="preserve">Croire que le coefficient 1,85 donne un prix HT : l’annexe 9 précise « prix de vente TTC » ;</w:t>
      </w:r>
    </w:p>
    <w:p>
      <w:pPr>
        <w:pStyle w:val="ListParagraph"/>
        <w:numPr>
          <w:ilvl w:val="0"/>
          <w:numId w:val="2"/>
        </w:numPr>
        <w:spacing w:after="80" w:line="276"/>
        <w:jc w:val="both"/>
      </w:pPr>
      <w:r>
        <w:rPr>
          <w:b w:val="false"/>
          <w:bCs w:val="false"/>
        </w:rPr>
        <w:t xml:space="preserve">Déduire le bon de 350 € du prix HT, ou calculer la marge en TTC (marge fausse de 798,65 € et seuil erroné de 2 packs) ;</w:t>
      </w:r>
    </w:p>
    <w:p>
      <w:pPr>
        <w:pStyle w:val="ListParagraph"/>
        <w:numPr>
          <w:ilvl w:val="0"/>
          <w:numId w:val="2"/>
        </w:numPr>
        <w:spacing w:after="80" w:line="276"/>
        <w:jc w:val="both"/>
      </w:pPr>
      <w:r>
        <w:rPr>
          <w:b w:val="false"/>
          <w:bCs w:val="false"/>
        </w:rPr>
        <w:t xml:space="preserve">Arrondir le seuil à l’entier inférieur (3 packs ne couvrent pas les coûts !) ;</w:t>
      </w:r>
    </w:p>
    <w:p>
      <w:pPr>
        <w:pStyle w:val="ListParagraph"/>
        <w:numPr>
          <w:ilvl w:val="0"/>
          <w:numId w:val="2"/>
        </w:numPr>
        <w:spacing w:after="80" w:line="276"/>
        <w:jc w:val="both"/>
      </w:pPr>
      <w:r>
        <w:rPr>
          <w:b w:val="false"/>
          <w:bCs w:val="false"/>
        </w:rPr>
        <w:t xml:space="preserve">Conclure « c’est rentable » sans jamais citer les 4 ventes supplémentaires prévues ni la période de validité des bons.</w:t>
      </w:r>
    </w:p>
    <w:p>
      <w:pPr>
        <w:pStyle w:val="Heading3"/>
        <w:spacing w:after="100" w:before="240"/>
      </w:pPr>
      <w:r>
        <w:rPr>
          <w:b/>
          <w:bCs/>
          <w:color w:val="C55A11"/>
          <w:sz w:val="23"/>
          <w:szCs w:val="23"/>
        </w:rPr>
        <w:t xml:space="preserve">Exemple complémentaire pour vous entraîner</w:t>
      </w:r>
    </w:p>
    <w:p>
      <w:pPr>
        <w:spacing w:after="140" w:before="0" w:line="276"/>
        <w:jc w:val="both"/>
      </w:pPr>
      <w:r>
        <w:rPr>
          <w:b w:val="false"/>
          <w:bCs w:val="false"/>
        </w:rPr>
        <w:t xml:space="preserve">Une animation « dégustation » coûte 620 € (animatrice, PLV, échantillons). Le produit mis en avant est acheté 9 € HT et vendu 24 € TTC (TVA 20 %) ; un coupon de 2,40 € TTC est remis aux participants. Combien de ventes « avec coupon » rendent l’opération rentable ?</w:t>
      </w:r>
    </w:p>
    <w:p>
      <w:pPr>
        <w:spacing w:after="140" w:before="0" w:line="276"/>
        <w:jc w:val="both"/>
      </w:pPr>
      <w:r>
        <w:rPr>
          <w:b/>
          <w:bCs/>
        </w:rPr>
        <w:t xml:space="preserve">Corrigé express</w:t>
      </w:r>
      <w:r>
        <w:rPr>
          <w:b w:val="false"/>
          <w:bCs w:val="false"/>
        </w:rPr>
        <w:t xml:space="preserve"> : prix payé = 21,60 € TTC = 18 € HT ; marge = 18 − 9 = 9 € ; seuil = 620 ÷ 9 = 68,9 → </w:t>
      </w:r>
      <w:r>
        <w:rPr>
          <w:b/>
          <w:bCs/>
        </w:rPr>
        <w:t xml:space="preserve">69 ventes</w:t>
      </w:r>
      <w:r>
        <w:rPr>
          <w:b w:val="false"/>
          <w:bCs w:val="false"/>
        </w:rPr>
        <w:t xml:space="preserve">.</w:t>
      </w:r>
    </w:p>
    <w:p>
      <w:pPr>
        <w:pStyle w:val="Heading3"/>
        <w:spacing w:after="100" w:before="240"/>
      </w:pPr>
      <w:r>
        <w:rPr>
          <w:b/>
          <w:bCs/>
          <w:color w:val="C55A11"/>
          <w:sz w:val="23"/>
          <w:szCs w:val="23"/>
        </w:rPr>
        <w:t xml:space="preserve">À retenir pour l’examen</w:t>
      </w:r>
    </w:p>
    <w:p>
      <w:pPr>
        <w:pBdr>
          <w:left w:val="single" w:color="375623" w:sz="16"/>
        </w:pBdr>
        <w:shd w:fill="E8F1E4" w:val="clear"/>
        <w:spacing w:after="140" w:before="100" w:line="276"/>
        <w:ind w:left="240" w:right="240"/>
        <w:jc w:val="both"/>
      </w:pPr>
      <w:r>
        <w:rPr>
          <w:b/>
          <w:bCs/>
        </w:rPr>
        <w:t xml:space="preserve">Rentabilité d’une opération = coûts fixes spécifiques ÷ marge unitaire, arrondi à l’entier supérieur — le tout calculé en HT.</w:t>
      </w:r>
      <w:r>
        <w:rPr>
          <w:b w:val="false"/>
          <w:bCs w:val="false"/>
        </w:rPr>
        <w:t xml:space="preserve"> Coût du travail = brut × (1 + charges patronales). Coefficient multiplicateur : du coût d’achat HT au prix de vente TTC. Et une conclusion de faisabilité confronte toujours le seuil aux prévisions.</w:t>
      </w:r>
    </w:p>
    <w:p>
      <w:r>
        <w:br w:type="page"/>
      </w:r>
    </w:p>
    <w:p>
      <w:pPr>
        <w:pStyle w:val="Heading2"/>
        <w:pBdr>
          <w:bottom w:val="single" w:color="2E5AA0" w:sz="6"/>
        </w:pBdr>
        <w:spacing w:after="140" w:before="300"/>
      </w:pPr>
      <w:r>
        <w:rPr>
          <w:b/>
          <w:bCs/>
          <w:color w:val="1F3864"/>
          <w:sz w:val="26"/>
          <w:szCs w:val="26"/>
        </w:rPr>
        <w:t xml:space="preserve">Synthèse du dossier 2 – ce qu’il faut emporter</w:t>
      </w:r>
    </w:p>
    <w:p>
      <w:pPr>
        <w:pStyle w:val="Heading3"/>
        <w:spacing w:after="100" w:before="240"/>
      </w:pPr>
      <w:r>
        <w:rPr>
          <w:b/>
          <w:bCs/>
          <w:color w:val="C55A11"/>
          <w:sz w:val="23"/>
          <w:szCs w:val="23"/>
        </w:rPr>
        <w:t xml:space="preserve">Les notions essentielles</w:t>
      </w:r>
    </w:p>
    <w:p>
      <w:pPr>
        <w:pStyle w:val="ListParagraph"/>
        <w:numPr>
          <w:ilvl w:val="0"/>
          <w:numId w:val="2"/>
        </w:numPr>
        <w:spacing w:after="80" w:line="276"/>
        <w:jc w:val="both"/>
      </w:pPr>
      <w:r>
        <w:rPr>
          <w:b w:val="false"/>
          <w:bCs w:val="false"/>
        </w:rPr>
        <w:t xml:space="preserve">La démarche complète d’une opération commerciale : objectifs → approvisionnements → rentabilité prévisionnelle ;</w:t>
      </w:r>
    </w:p>
    <w:p>
      <w:pPr>
        <w:pStyle w:val="ListParagraph"/>
        <w:numPr>
          <w:ilvl w:val="0"/>
          <w:numId w:val="2"/>
        </w:numPr>
        <w:spacing w:after="80" w:line="276"/>
        <w:jc w:val="both"/>
      </w:pPr>
      <w:r>
        <w:rPr>
          <w:b w:val="false"/>
          <w:bCs w:val="false"/>
        </w:rPr>
        <w:t xml:space="preserve">La saisonnalité et les coefficients saisonniers ;</w:t>
      </w:r>
    </w:p>
    <w:p>
      <w:pPr>
        <w:pStyle w:val="ListParagraph"/>
        <w:numPr>
          <w:ilvl w:val="0"/>
          <w:numId w:val="2"/>
        </w:numPr>
        <w:spacing w:after="80" w:line="276"/>
        <w:jc w:val="both"/>
      </w:pPr>
      <w:r>
        <w:rPr>
          <w:b w:val="false"/>
          <w:bCs w:val="false"/>
        </w:rPr>
        <w:t xml:space="preserve">Le stock de sécurité et l’équation des stocks ;</w:t>
      </w:r>
    </w:p>
    <w:p>
      <w:pPr>
        <w:pStyle w:val="ListParagraph"/>
        <w:numPr>
          <w:ilvl w:val="0"/>
          <w:numId w:val="2"/>
        </w:numPr>
        <w:spacing w:after="80" w:line="276"/>
        <w:jc w:val="both"/>
      </w:pPr>
      <w:r>
        <w:rPr>
          <w:b w:val="false"/>
          <w:bCs w:val="false"/>
        </w:rPr>
        <w:t xml:space="preserve">Le seuil de rentabilité d’une action, la marge en période de promotion, le coût employeur.</w:t>
      </w:r>
    </w:p>
    <w:p>
      <w:pPr>
        <w:pStyle w:val="Heading3"/>
        <w:spacing w:after="100" w:before="240"/>
      </w:pPr>
      <w:r>
        <w:rPr>
          <w:b/>
          <w:bCs/>
          <w:color w:val="C55A11"/>
          <w:sz w:val="23"/>
          <w:szCs w:val="23"/>
        </w:rPr>
        <w:t xml:space="preserve">Les formules à connaître par cœur</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Prévision du mois = (Annuel prévu ÷ 12) × coefficient saisonnier    •    Σ coefficients = 12</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Livraison = Ventes + Stock de sécurité − Stock initial    •    Commande = Livraison − Délai</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PV TTC = Coût d’achat HT × coefficient    •    Coût employeur = Brut × 1,42 (ici)    •    Seuil = Coûts ÷ Marge unitaire</w:t>
      </w:r>
    </w:p>
    <w:p>
      <w:pPr>
        <w:pStyle w:val="Heading3"/>
        <w:spacing w:after="100" w:before="240"/>
      </w:pPr>
      <w:r>
        <w:rPr>
          <w:b/>
          <w:bCs/>
          <w:color w:val="C55A11"/>
          <w:sz w:val="23"/>
          <w:szCs w:val="23"/>
        </w:rPr>
        <w:t xml:space="preserve">Les réflexes du jour J</w:t>
      </w:r>
    </w:p>
    <w:p>
      <w:pPr>
        <w:pStyle w:val="ListParagraph"/>
        <w:numPr>
          <w:ilvl w:val="0"/>
          <w:numId w:val="2"/>
        </w:numPr>
        <w:spacing w:after="80" w:line="276"/>
        <w:jc w:val="both"/>
      </w:pPr>
      <w:r>
        <w:rPr>
          <w:b w:val="false"/>
          <w:bCs w:val="false"/>
        </w:rPr>
        <w:t xml:space="preserve">Vérifier la somme des coefficients saisonniers (= 12) avant de les utiliser ;</w:t>
      </w:r>
    </w:p>
    <w:p>
      <w:pPr>
        <w:pStyle w:val="ListParagraph"/>
        <w:numPr>
          <w:ilvl w:val="0"/>
          <w:numId w:val="2"/>
        </w:numPr>
        <w:spacing w:after="80" w:line="276"/>
        <w:jc w:val="both"/>
      </w:pPr>
      <w:r>
        <w:rPr>
          <w:b w:val="false"/>
          <w:bCs w:val="false"/>
        </w:rPr>
        <w:t xml:space="preserve">Enchaîner stock final → stock initial et vérifier l’équilibre entrées/sorties ;</w:t>
      </w:r>
    </w:p>
    <w:p>
      <w:pPr>
        <w:pStyle w:val="ListParagraph"/>
        <w:numPr>
          <w:ilvl w:val="0"/>
          <w:numId w:val="2"/>
        </w:numPr>
        <w:spacing w:after="80" w:line="276"/>
        <w:jc w:val="both"/>
      </w:pPr>
      <w:r>
        <w:rPr>
          <w:b w:val="false"/>
          <w:bCs w:val="false"/>
        </w:rPr>
        <w:t xml:space="preserve">Éliminer explicitement les coûts « à 0 € » (pris en charge, négligeables) : cela prouve votre lecture des annexes ;</w:t>
      </w:r>
    </w:p>
    <w:p>
      <w:pPr>
        <w:pStyle w:val="ListParagraph"/>
        <w:numPr>
          <w:ilvl w:val="0"/>
          <w:numId w:val="2"/>
        </w:numPr>
        <w:spacing w:after="80" w:line="276"/>
        <w:jc w:val="both"/>
      </w:pPr>
      <w:r>
        <w:rPr>
          <w:b w:val="false"/>
          <w:bCs w:val="false"/>
        </w:rPr>
        <w:t xml:space="preserve">Arrondir un seuil de rentabilité en quantité à l’entier supérieur.</w:t>
      </w:r>
    </w:p>
    <w:p>
      <w:pPr>
        <w:pStyle w:val="Heading3"/>
        <w:spacing w:after="100" w:before="240"/>
      </w:pPr>
      <w:r>
        <w:rPr>
          <w:b/>
          <w:bCs/>
          <w:color w:val="C55A11"/>
          <w:sz w:val="23"/>
          <w:szCs w:val="23"/>
        </w:rPr>
        <w:t xml:space="preserve">Questions d’entraînement</w:t>
      </w:r>
    </w:p>
    <w:p>
      <w:pPr>
        <w:pStyle w:val="ListParagraph"/>
        <w:numPr>
          <w:ilvl w:val="0"/>
          <w:numId w:val="2"/>
        </w:numPr>
        <w:spacing w:after="80" w:line="276"/>
        <w:jc w:val="both"/>
      </w:pPr>
      <w:r>
        <w:rPr>
          <w:b w:val="false"/>
          <w:bCs w:val="false"/>
        </w:rPr>
        <w:t xml:space="preserve">Recalculez l’objectif de juillet 2024 (coefficient 2,0) hors effet animation. (Réponse : 4 × 2 = 8 packs.)</w:t>
      </w:r>
    </w:p>
    <w:p>
      <w:pPr>
        <w:pStyle w:val="ListParagraph"/>
        <w:numPr>
          <w:ilvl w:val="0"/>
          <w:numId w:val="2"/>
        </w:numPr>
        <w:spacing w:after="80" w:line="276"/>
        <w:jc w:val="both"/>
      </w:pPr>
      <w:r>
        <w:rPr>
          <w:b w:val="false"/>
          <w:bCs w:val="false"/>
        </w:rPr>
        <w:t xml:space="preserve">Si le stock au 31 mai n’était que de 1 pack, quelle serait la livraison de juin ? (Réponse : 8 + 3 − 1 = 10 packs.)</w:t>
      </w:r>
    </w:p>
    <w:p>
      <w:pPr>
        <w:pStyle w:val="ListParagraph"/>
        <w:numPr>
          <w:ilvl w:val="0"/>
          <w:numId w:val="2"/>
        </w:numPr>
        <w:spacing w:after="80" w:line="276"/>
        <w:jc w:val="both"/>
      </w:pPr>
      <w:r>
        <w:rPr>
          <w:b w:val="false"/>
          <w:bCs w:val="false"/>
        </w:rPr>
        <w:t xml:space="preserve">Si le bon était porté à 500 € TTC, combien de packs faudrait-il vendre ? (Réponse : marge = 2 000 ÷ 1,2 − 1 351,35 = 315,32 € ; 1 437,46 ÷ 315,32 = 4,56 → 5 packs.)</w:t>
      </w:r>
    </w:p>
    <w:p>
      <w:r>
        <w:br w:type="page"/>
      </w:r>
    </w:p>
    <w:p>
      <w:pPr>
        <w:pStyle w:val="Heading1"/>
        <w:pBdr>
          <w:bottom w:val="single" w:color="C55A11" w:sz="8"/>
        </w:pBdr>
        <w:shd w:fill="1F3864" w:val="clear"/>
        <w:spacing w:after="200" w:before="240"/>
        <w:ind w:left="120" w:right="120"/>
        <w:jc w:val="left"/>
      </w:pPr>
      <w:r>
        <w:rPr>
          <w:b/>
          <w:bCs/>
          <w:color w:val="FFFFFF"/>
          <w:sz w:val="30"/>
          <w:szCs w:val="30"/>
        </w:rPr>
        <w:t xml:space="preserve">PARTIE 2 – LE QUESTIONNAIRE À CHOIX MULTIPLE</w:t>
      </w:r>
    </w:p>
    <w:p>
      <w:pPr>
        <w:spacing w:after="140" w:before="0" w:line="276"/>
        <w:jc w:val="both"/>
      </w:pPr>
      <w:r>
        <w:rPr>
          <w:b/>
          <w:bCs/>
        </w:rPr>
        <w:t xml:space="preserve">Consigne du sujet</w:t>
      </w:r>
      <w:r>
        <w:rPr>
          <w:b w:val="false"/>
          <w:bCs w:val="false"/>
        </w:rPr>
        <w:t xml:space="preserve"> : « indiquez sur votre copie la ou les bonne(s) réponse(s) </w:t>
      </w:r>
      <w:r>
        <w:rPr>
          <w:b/>
          <w:bCs/>
        </w:rPr>
        <w:t xml:space="preserve">en présentant votre raisonnement</w:t>
      </w:r>
      <w:r>
        <w:rPr>
          <w:b w:val="false"/>
          <w:bCs w:val="false"/>
        </w:rPr>
        <w:t xml:space="preserve"> ». Retenez bien : ce QCM n’est pas un jeu de cases à cocher. Sans calcul justificatif, la réponse — même exacte — ne rapporte pas les points. Notez aussi le pluriel possible (« la ou les bonnes réponses ») : une question peut admettre deux réponses correctes, ce qui est précisément le cas de la question 3. Enfin, les distracteurs (mauvaises réponses) correspondent presque toujours à des erreurs de méthode classiques : nous les décoderons à chaque fois, car savoir pourquoi une réponse est fausse est le meilleur vaccin contre l’erreur.</w:t>
      </w:r>
    </w:p>
    <w:p>
      <w:pPr>
        <w:pStyle w:val="Heading2"/>
        <w:pBdr>
          <w:bottom w:val="single" w:color="2E5AA0" w:sz="6"/>
        </w:pBdr>
        <w:spacing w:after="140" w:before="300"/>
      </w:pPr>
      <w:r>
        <w:rPr>
          <w:b/>
          <w:bCs/>
          <w:color w:val="1F3864"/>
          <w:sz w:val="26"/>
          <w:szCs w:val="26"/>
        </w:rPr>
        <w:t xml:space="preserve">QCM – Question 1 : la trésorerie après remise à l’escompte</w:t>
      </w:r>
    </w:p>
    <w:p>
      <w:pPr>
        <w:pStyle w:val="Heading3"/>
        <w:spacing w:after="100" w:before="240"/>
      </w:pPr>
      <w:r>
        <w:rPr>
          <w:b/>
          <w:bCs/>
          <w:color w:val="C55A11"/>
          <w:sz w:val="23"/>
          <w:szCs w:val="23"/>
        </w:rPr>
        <w:t xml:space="preserve">Ce que la question vous demande</w:t>
      </w:r>
    </w:p>
    <w:p>
      <w:pPr>
        <w:spacing w:after="140" w:before="0" w:line="276"/>
        <w:jc w:val="both"/>
      </w:pPr>
      <w:r>
        <w:rPr>
          <w:b w:val="false"/>
          <w:bCs w:val="false"/>
        </w:rPr>
        <w:t xml:space="preserve">Le compte bancaire du magasin Mister Déco est </w:t>
      </w:r>
      <w:r>
        <w:rPr>
          <w:b/>
          <w:bCs/>
        </w:rPr>
        <w:t xml:space="preserve">débiteur de 7 500 €</w:t>
      </w:r>
      <w:r>
        <w:rPr>
          <w:b w:val="false"/>
          <w:bCs w:val="false"/>
        </w:rPr>
        <w:t xml:space="preserve">. Pour se refinancer, la responsable remet à l’escompte un </w:t>
      </w:r>
      <w:r>
        <w:rPr>
          <w:b/>
          <w:bCs/>
        </w:rPr>
        <w:t xml:space="preserve">effet de commerce de 8 000 €</w:t>
      </w:r>
      <w:r>
        <w:rPr>
          <w:b w:val="false"/>
          <w:bCs w:val="false"/>
        </w:rPr>
        <w:t xml:space="preserve"> arrivant à échéance dans </w:t>
      </w:r>
      <w:r>
        <w:rPr>
          <w:b/>
          <w:bCs/>
        </w:rPr>
        <w:t xml:space="preserve">24 jours</w:t>
      </w:r>
      <w:r>
        <w:rPr>
          <w:b w:val="false"/>
          <w:bCs w:val="false"/>
        </w:rPr>
        <w:t xml:space="preserve">. La banque prélève un </w:t>
      </w:r>
      <w:r>
        <w:rPr>
          <w:b/>
          <w:bCs/>
        </w:rPr>
        <w:t xml:space="preserve">taux d’escompte annuel de 2,5 %</w:t>
      </w:r>
      <w:r>
        <w:rPr>
          <w:b w:val="false"/>
          <w:bCs w:val="false"/>
        </w:rPr>
        <w:t xml:space="preserve"> et une </w:t>
      </w:r>
      <w:r>
        <w:rPr>
          <w:b/>
          <w:bCs/>
        </w:rPr>
        <w:t xml:space="preserve">commission forfaitaire de 13,40 € HT</w:t>
      </w:r>
      <w:r>
        <w:rPr>
          <w:b w:val="false"/>
          <w:bCs w:val="false"/>
        </w:rPr>
        <w:t xml:space="preserve"> (TVA 20 %). Il faut calculer la </w:t>
      </w:r>
      <w:r>
        <w:rPr>
          <w:b/>
          <w:bCs/>
        </w:rPr>
        <w:t xml:space="preserve">trésorerie après l’opération</w:t>
      </w:r>
      <w:r>
        <w:rPr>
          <w:b w:val="false"/>
          <w:bCs w:val="false"/>
        </w:rPr>
        <w:t xml:space="preserve">, c’est-à-dire : solde initial + net porté en compte par la banque. Réponses proposées : a. 283,92 € ; b. 470,59 € ; c. 473,27 € ; d. autre.</w:t>
      </w:r>
    </w:p>
    <w:p>
      <w:pPr>
        <w:pStyle w:val="Heading3"/>
        <w:spacing w:after="100" w:before="240"/>
      </w:pPr>
      <w:r>
        <w:rPr>
          <w:b/>
          <w:bCs/>
          <w:color w:val="C55A11"/>
          <w:sz w:val="23"/>
          <w:szCs w:val="23"/>
        </w:rPr>
        <w:t xml:space="preserve">Compétence et notion du référentiel mobilisées</w:t>
      </w:r>
    </w:p>
    <w:p>
      <w:pPr>
        <w:spacing w:after="140" w:before="0" w:line="276"/>
        <w:jc w:val="both"/>
      </w:pPr>
      <w:r>
        <w:rPr>
          <w:b w:val="false"/>
          <w:bCs w:val="false"/>
        </w:rPr>
        <w:t xml:space="preserve">Bloc n° 3, compétence « </w:t>
      </w:r>
      <w:r>
        <w:rPr>
          <w:b/>
          <w:bCs/>
        </w:rPr>
        <w:t xml:space="preserve">Gérer les opérations courantes</w:t>
      </w:r>
      <w:r>
        <w:rPr>
          <w:b w:val="false"/>
          <w:bCs w:val="false"/>
        </w:rPr>
        <w:t xml:space="preserve"> – suivre les règlements et la trésorerie ». Savoirs associés : « Le financement de l’exploitation » (les relations avec les banques, les moyens de financement de l’exploitation), « La trésorerie » (les possibilités d’ajustement), « Les opérations de règlement » (les outils de règlement). Critère d’évaluation activé : « les calculs de trésorerie sont justes ».</w:t>
      </w:r>
    </w:p>
    <w:p>
      <w:pPr>
        <w:pStyle w:val="Heading3"/>
        <w:spacing w:after="100" w:before="240"/>
      </w:pPr>
      <w:r>
        <w:rPr>
          <w:b/>
          <w:bCs/>
          <w:color w:val="C55A11"/>
          <w:sz w:val="23"/>
          <w:szCs w:val="23"/>
        </w:rPr>
        <w:t xml:space="preserve">Rappel de cours</w:t>
      </w:r>
    </w:p>
    <w:p>
      <w:pPr>
        <w:spacing w:after="140" w:before="0" w:line="276"/>
        <w:jc w:val="both"/>
      </w:pPr>
      <w:r>
        <w:rPr>
          <w:b/>
          <w:bCs/>
        </w:rPr>
        <w:t xml:space="preserve">L’effet de commerce</w:t>
      </w:r>
      <w:r>
        <w:rPr>
          <w:b w:val="false"/>
          <w:bCs w:val="false"/>
        </w:rPr>
        <w:t xml:space="preserve"> (lettre de change, billet à ordre) matérialise une créance client payable à une échéance future. </w:t>
      </w:r>
      <w:r>
        <w:rPr>
          <w:b/>
          <w:bCs/>
        </w:rPr>
        <w:t xml:space="preserve">La remise à l’escompte</w:t>
      </w:r>
      <w:r>
        <w:rPr>
          <w:b w:val="false"/>
          <w:bCs w:val="false"/>
        </w:rPr>
        <w:t xml:space="preserve"> consiste à céder cet effet à sa banque avant l’échéance : la banque avance immédiatement les fonds, moyennant une rémunération appelée </w:t>
      </w:r>
      <w:r>
        <w:rPr>
          <w:b/>
          <w:bCs/>
        </w:rPr>
        <w:t xml:space="preserve">agios</w:t>
      </w:r>
      <w:r>
        <w:rPr>
          <w:b w:val="false"/>
          <w:bCs w:val="false"/>
        </w:rPr>
        <w:t xml:space="preserve">, composée de deux éléments :</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Escompte = Valeur nominale × taux annuel × nombre de jours ÷ 360</w:t>
      </w:r>
    </w:p>
    <w:p>
      <w:pPr>
        <w:pStyle w:val="ListParagraph"/>
        <w:numPr>
          <w:ilvl w:val="0"/>
          <w:numId w:val="2"/>
        </w:numPr>
        <w:spacing w:after="80" w:line="276"/>
        <w:jc w:val="both"/>
      </w:pPr>
      <w:r>
        <w:rPr>
          <w:b w:val="false"/>
          <w:bCs w:val="false"/>
        </w:rPr>
        <w:t xml:space="preserve">L’escompte est un </w:t>
      </w:r>
      <w:r>
        <w:rPr>
          <w:b/>
          <w:bCs/>
        </w:rPr>
        <w:t xml:space="preserve">intérêt prorata temporis</w:t>
      </w:r>
      <w:r>
        <w:rPr>
          <w:b w:val="false"/>
          <w:bCs w:val="false"/>
        </w:rPr>
        <w:t xml:space="preserve"> : on utilise l’année commerciale de </w:t>
      </w:r>
      <w:r>
        <w:rPr>
          <w:b/>
          <w:bCs/>
        </w:rPr>
        <w:t xml:space="preserve">360 jours</w:t>
      </w:r>
      <w:r>
        <w:rPr>
          <w:b w:val="false"/>
          <w:bCs w:val="false"/>
        </w:rPr>
        <w:t xml:space="preserve"> (convention bancaire). Il n’est </w:t>
      </w:r>
      <w:r>
        <w:rPr>
          <w:b/>
          <w:bCs/>
        </w:rPr>
        <w:t xml:space="preserve">pas soumis à TVA</w:t>
      </w:r>
      <w:r>
        <w:rPr>
          <w:b w:val="false"/>
          <w:bCs w:val="false"/>
        </w:rPr>
        <w:t xml:space="preserve"> (les intérêts sont exonérés).</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Agios = Escompte + Commissions TTC        •        Net porté en compte = Valeur nominale − Agios</w:t>
      </w:r>
    </w:p>
    <w:p>
      <w:pPr>
        <w:pStyle w:val="ListParagraph"/>
        <w:numPr>
          <w:ilvl w:val="0"/>
          <w:numId w:val="2"/>
        </w:numPr>
        <w:spacing w:after="80" w:line="276"/>
        <w:jc w:val="both"/>
      </w:pPr>
      <w:r>
        <w:rPr>
          <w:b w:val="false"/>
          <w:bCs w:val="false"/>
        </w:rPr>
        <w:t xml:space="preserve">Les </w:t>
      </w:r>
      <w:r>
        <w:rPr>
          <w:b/>
          <w:bCs/>
        </w:rPr>
        <w:t xml:space="preserve">commissions</w:t>
      </w:r>
      <w:r>
        <w:rPr>
          <w:b w:val="false"/>
          <w:bCs w:val="false"/>
        </w:rPr>
        <w:t xml:space="preserve"> de service bancaire sont en revanche </w:t>
      </w:r>
      <w:r>
        <w:rPr>
          <w:b/>
          <w:bCs/>
        </w:rPr>
        <w:t xml:space="preserve">soumises à TVA</w:t>
      </w:r>
      <w:r>
        <w:rPr>
          <w:b w:val="false"/>
          <w:bCs w:val="false"/>
        </w:rPr>
        <w:t xml:space="preserve"> : une commission de 13,40 € HT coûte 13,40 × 1,20 = 16,08 € TTC. La TVA sur commission est certes récupérable pour l’entreprise, mais au moment de l’opération, c’est bien le montant TTC qui est prélevé sur le compte : c’est lui qui impacte la trésorerie.</w:t>
      </w:r>
    </w:p>
    <w:p>
      <w:pPr>
        <w:spacing w:after="140" w:before="0" w:line="276"/>
        <w:jc w:val="both"/>
      </w:pPr>
      <w:r>
        <w:rPr>
          <w:b/>
          <w:bCs/>
        </w:rPr>
        <w:t xml:space="preserve">La trésorerie</w:t>
      </w:r>
      <w:r>
        <w:rPr>
          <w:b w:val="false"/>
          <w:bCs w:val="false"/>
        </w:rPr>
        <w:t xml:space="preserve"> est le solde disponible : un compte « débiteur de 7 500 € » signifie un solde de </w:t>
      </w:r>
      <w:r>
        <w:rPr>
          <w:b/>
          <w:bCs/>
        </w:rPr>
        <w:t xml:space="preserve">−7 500 €</w:t>
      </w:r>
      <w:r>
        <w:rPr>
          <w:b w:val="false"/>
          <w:bCs w:val="false"/>
        </w:rPr>
        <w:t xml:space="preserve"> (découvert). Après remise à l’escompte : trésorerie = −7 500 + net porté en compte.</w:t>
      </w:r>
    </w:p>
    <w:p>
      <w:pPr>
        <w:pStyle w:val="Heading3"/>
        <w:spacing w:after="100" w:before="240"/>
      </w:pPr>
      <w:r>
        <w:rPr>
          <w:b/>
          <w:bCs/>
          <w:color w:val="C55A11"/>
          <w:sz w:val="23"/>
          <w:szCs w:val="23"/>
        </w:rPr>
        <w:t xml:space="preserve">Méthode et correction détaillée</w:t>
      </w:r>
    </w:p>
    <w:p>
      <w:pPr>
        <w:pStyle w:val="ListParagraph"/>
        <w:numPr>
          <w:ilvl w:val="0"/>
          <w:numId w:val="2"/>
        </w:numPr>
        <w:spacing w:after="80" w:line="276"/>
        <w:jc w:val="both"/>
      </w:pPr>
      <w:r>
        <w:rPr>
          <w:b/>
          <w:bCs/>
        </w:rPr>
        <w:t xml:space="preserve">Étape 1 – Escompte</w:t>
      </w:r>
      <w:r>
        <w:rPr>
          <w:b w:val="false"/>
          <w:bCs w:val="false"/>
        </w:rPr>
        <w:t xml:space="preserve"> : 8 000 × 2,5 % × 24 ÷ 360 = 8 000 × 0,025 × 0,0667 = </w:t>
      </w:r>
      <w:r>
        <w:rPr>
          <w:b/>
          <w:bCs/>
        </w:rPr>
        <w:t xml:space="preserve">13,33 €</w:t>
      </w:r>
      <w:r>
        <w:rPr>
          <w:b w:val="false"/>
          <w:bCs w:val="false"/>
        </w:rPr>
        <w:t xml:space="preserve"> ;</w:t>
      </w:r>
    </w:p>
    <w:p>
      <w:pPr>
        <w:pStyle w:val="ListParagraph"/>
        <w:numPr>
          <w:ilvl w:val="0"/>
          <w:numId w:val="2"/>
        </w:numPr>
        <w:spacing w:after="80" w:line="276"/>
        <w:jc w:val="both"/>
      </w:pPr>
      <w:r>
        <w:rPr>
          <w:b/>
          <w:bCs/>
        </w:rPr>
        <w:t xml:space="preserve">Étape 2 – Commission TTC</w:t>
      </w:r>
      <w:r>
        <w:rPr>
          <w:b w:val="false"/>
          <w:bCs w:val="false"/>
        </w:rPr>
        <w:t xml:space="preserve"> : 13,40 × 1,20 = </w:t>
      </w:r>
      <w:r>
        <w:rPr>
          <w:b/>
          <w:bCs/>
        </w:rPr>
        <w:t xml:space="preserve">16,08 €</w:t>
      </w:r>
      <w:r>
        <w:rPr>
          <w:b w:val="false"/>
          <w:bCs w:val="false"/>
        </w:rPr>
        <w:t xml:space="preserve"> ;</w:t>
      </w:r>
    </w:p>
    <w:p>
      <w:pPr>
        <w:pStyle w:val="ListParagraph"/>
        <w:numPr>
          <w:ilvl w:val="0"/>
          <w:numId w:val="2"/>
        </w:numPr>
        <w:spacing w:after="80" w:line="276"/>
        <w:jc w:val="both"/>
      </w:pPr>
      <w:r>
        <w:rPr>
          <w:b/>
          <w:bCs/>
        </w:rPr>
        <w:t xml:space="preserve">Étape 3 – Agios</w:t>
      </w:r>
      <w:r>
        <w:rPr>
          <w:b w:val="false"/>
          <w:bCs w:val="false"/>
        </w:rPr>
        <w:t xml:space="preserve"> : 13,33 + 16,08 = </w:t>
      </w:r>
      <w:r>
        <w:rPr>
          <w:b/>
          <w:bCs/>
        </w:rPr>
        <w:t xml:space="preserve">29,41 €</w:t>
      </w:r>
      <w:r>
        <w:rPr>
          <w:b w:val="false"/>
          <w:bCs w:val="false"/>
        </w:rPr>
        <w:t xml:space="preserve"> ;</w:t>
      </w:r>
    </w:p>
    <w:p>
      <w:pPr>
        <w:pStyle w:val="ListParagraph"/>
        <w:numPr>
          <w:ilvl w:val="0"/>
          <w:numId w:val="2"/>
        </w:numPr>
        <w:spacing w:after="80" w:line="276"/>
        <w:jc w:val="both"/>
      </w:pPr>
      <w:r>
        <w:rPr>
          <w:b/>
          <w:bCs/>
        </w:rPr>
        <w:t xml:space="preserve">Étape 4 – Net porté en compte</w:t>
      </w:r>
      <w:r>
        <w:rPr>
          <w:b w:val="false"/>
          <w:bCs w:val="false"/>
        </w:rPr>
        <w:t xml:space="preserve"> : 8 000 − 29,41 = </w:t>
      </w:r>
      <w:r>
        <w:rPr>
          <w:b/>
          <w:bCs/>
        </w:rPr>
        <w:t xml:space="preserve">7 970,59 €</w:t>
      </w:r>
      <w:r>
        <w:rPr>
          <w:b w:val="false"/>
          <w:bCs w:val="false"/>
        </w:rPr>
        <w:t xml:space="preserve"> ;</w:t>
      </w:r>
    </w:p>
    <w:p>
      <w:pPr>
        <w:pStyle w:val="ListParagraph"/>
        <w:numPr>
          <w:ilvl w:val="0"/>
          <w:numId w:val="2"/>
        </w:numPr>
        <w:spacing w:after="80" w:line="276"/>
        <w:jc w:val="both"/>
      </w:pPr>
      <w:r>
        <w:rPr>
          <w:b/>
          <w:bCs/>
        </w:rPr>
        <w:t xml:space="preserve">Étape 5 – Trésorerie</w:t>
      </w:r>
      <w:r>
        <w:rPr>
          <w:b w:val="false"/>
          <w:bCs w:val="false"/>
        </w:rPr>
        <w:t xml:space="preserve"> : −7 500 + 7 970,59 = </w:t>
      </w:r>
      <w:r>
        <w:rPr>
          <w:b/>
          <w:bCs/>
        </w:rPr>
        <w:t xml:space="preserve">+470,59 €</w:t>
      </w:r>
      <w:r>
        <w:rPr>
          <w:b w:val="false"/>
          <w:bCs w:val="false"/>
        </w:rPr>
        <w:t xml:space="preserve">.</w:t>
      </w:r>
    </w:p>
    <w:p>
      <w:pPr>
        <w:spacing w:after="140" w:before="0" w:line="276"/>
        <w:jc w:val="both"/>
      </w:pPr>
      <w:r>
        <w:rPr>
          <w:b/>
          <w:bCs/>
        </w:rPr>
        <w:t xml:space="preserve">Bonne réponse : b. 470,59 €.</w:t>
      </w:r>
    </w:p>
    <w:p>
      <w:pPr>
        <w:spacing w:after="140" w:before="0" w:line="276"/>
        <w:jc w:val="both"/>
      </w:pPr>
      <w:r>
        <w:rPr>
          <w:b/>
          <w:bCs/>
        </w:rPr>
        <w:t xml:space="preserve">Décodage des distracteurs</w:t>
      </w:r>
      <w:r>
        <w:rPr>
          <w:b w:val="false"/>
          <w:bCs w:val="false"/>
        </w:rPr>
        <w:t xml:space="preserve"> : la réponse c (473,27 €) correspond à l’oubli de la TVA sur la commission (8 000 − 13,33 − 13,40 − 7 500 = 473,27) — c’est le piège principal. La réponse a (283,92 €) provient d’un escompte calculé sur une durée erronée. Savoir reconstituer les distracteurs est un excellent test de maîtrise.</w:t>
      </w:r>
    </w:p>
    <w:p>
      <w:pPr>
        <w:pStyle w:val="Heading3"/>
        <w:spacing w:after="100" w:before="240"/>
      </w:pPr>
      <w:r>
        <w:rPr>
          <w:b/>
          <w:bCs/>
          <w:color w:val="C55A11"/>
          <w:sz w:val="23"/>
          <w:szCs w:val="23"/>
        </w:rPr>
        <w:t xml:space="preserve">Interprétation du résultat</w:t>
      </w:r>
    </w:p>
    <w:p>
      <w:pPr>
        <w:spacing w:after="140" w:before="0" w:line="276"/>
        <w:jc w:val="both"/>
      </w:pPr>
      <w:r>
        <w:rPr>
          <w:b w:val="false"/>
          <w:bCs w:val="false"/>
        </w:rPr>
        <w:t xml:space="preserve">L’opération transforme un découvert de 7 500 € en une trésorerie positive de 470,59 €. Pour un coût total de 29,41 €, le magasin échappe aux </w:t>
      </w:r>
      <w:r>
        <w:rPr>
          <w:b/>
          <w:bCs/>
        </w:rPr>
        <w:t xml:space="preserve">agios de découvert</w:t>
      </w:r>
      <w:r>
        <w:rPr>
          <w:b w:val="false"/>
          <w:bCs w:val="false"/>
        </w:rPr>
        <w:t xml:space="preserve">, généralement facturés à un taux bien supérieur (souvent 8 à 15 % par an), et sécurise ses paiements. La remise à l’escompte est donc ici une </w:t>
      </w:r>
      <w:r>
        <w:rPr>
          <w:b/>
          <w:bCs/>
        </w:rPr>
        <w:t xml:space="preserve">décision de gestion de trésorerie pertinente</w:t>
      </w:r>
      <w:r>
        <w:rPr>
          <w:b w:val="false"/>
          <w:bCs w:val="false"/>
        </w:rPr>
        <w:t xml:space="preserve"> : mobiliser une créance existante coûte moins cher que rester à découvert. Contrepartie : le magasin renonce à encaisser 8 000 € dans 24 jours, et reste en général garant du paiement de l’effet si le client est défaillant.</w:t>
      </w:r>
    </w:p>
    <w:p>
      <w:pPr>
        <w:pStyle w:val="Heading3"/>
        <w:spacing w:after="100" w:before="240"/>
      </w:pPr>
      <w:r>
        <w:rPr>
          <w:b/>
          <w:bCs/>
          <w:color w:val="C55A11"/>
          <w:sz w:val="23"/>
          <w:szCs w:val="23"/>
        </w:rPr>
        <w:t xml:space="preserve">Conseils du correcteur et erreurs fréquentes à éviter</w:t>
      </w:r>
    </w:p>
    <w:p>
      <w:pPr>
        <w:pBdr>
          <w:left w:val="single" w:color="C55A11" w:sz="16"/>
        </w:pBdr>
        <w:shd w:fill="FBF2E4" w:val="clear"/>
        <w:spacing w:after="140" w:before="100" w:line="276"/>
        <w:ind w:left="240" w:right="240"/>
        <w:jc w:val="both"/>
      </w:pPr>
      <w:r>
        <w:rPr>
          <w:b w:val="false"/>
          <w:bCs w:val="false"/>
          <w:i/>
          <w:iCs/>
          <w:color w:val="3B3B3B"/>
        </w:rPr>
        <w:t xml:space="preserve">Sur ce type de question, présentez vos cinq lignes de calcul puis encadrez la lettre de la réponse. Le correcteur doit pouvoir suivre chaque euro. Une lettre seule, sans raisonnement, ne rapporte rien — la consigne du sujet est explicite.</w:t>
      </w:r>
    </w:p>
    <w:p>
      <w:pPr>
        <w:pStyle w:val="ListParagraph"/>
        <w:numPr>
          <w:ilvl w:val="0"/>
          <w:numId w:val="2"/>
        </w:numPr>
        <w:spacing w:after="80" w:line="276"/>
        <w:jc w:val="both"/>
      </w:pPr>
      <w:r>
        <w:rPr>
          <w:b w:val="false"/>
          <w:bCs w:val="false"/>
        </w:rPr>
        <w:t xml:space="preserve">Oublier la </w:t>
      </w:r>
      <w:r>
        <w:rPr>
          <w:b/>
          <w:bCs/>
        </w:rPr>
        <w:t xml:space="preserve">TVA sur la commission</w:t>
      </w:r>
      <w:r>
        <w:rPr>
          <w:b w:val="false"/>
          <w:bCs w:val="false"/>
        </w:rPr>
        <w:t xml:space="preserve"> (piège n° 1, qui mène tout droit à la réponse c) ;</w:t>
      </w:r>
    </w:p>
    <w:p>
      <w:pPr>
        <w:pStyle w:val="ListParagraph"/>
        <w:numPr>
          <w:ilvl w:val="0"/>
          <w:numId w:val="2"/>
        </w:numPr>
        <w:spacing w:after="80" w:line="276"/>
        <w:jc w:val="both"/>
      </w:pPr>
      <w:r>
        <w:rPr>
          <w:b w:val="false"/>
          <w:bCs w:val="false"/>
        </w:rPr>
        <w:t xml:space="preserve">Appliquer la TVA à l’escompte (les intérêts ne sont pas taxés) ;</w:t>
      </w:r>
    </w:p>
    <w:p>
      <w:pPr>
        <w:pStyle w:val="ListParagraph"/>
        <w:numPr>
          <w:ilvl w:val="0"/>
          <w:numId w:val="2"/>
        </w:numPr>
        <w:spacing w:after="80" w:line="276"/>
        <w:jc w:val="both"/>
      </w:pPr>
      <w:r>
        <w:rPr>
          <w:b w:val="false"/>
          <w:bCs w:val="false"/>
        </w:rPr>
        <w:t xml:space="preserve">Utiliser 365 jours au lieu de l’année commerciale de </w:t>
      </w:r>
      <w:r>
        <w:rPr>
          <w:b/>
          <w:bCs/>
        </w:rPr>
        <w:t xml:space="preserve">360 jours</w:t>
      </w:r>
      <w:r>
        <w:rPr>
          <w:b w:val="false"/>
          <w:bCs w:val="false"/>
        </w:rPr>
        <w:t xml:space="preserve"> ;</w:t>
      </w:r>
    </w:p>
    <w:p>
      <w:pPr>
        <w:pStyle w:val="ListParagraph"/>
        <w:numPr>
          <w:ilvl w:val="0"/>
          <w:numId w:val="2"/>
        </w:numPr>
        <w:spacing w:after="80" w:line="276"/>
        <w:jc w:val="both"/>
      </w:pPr>
      <w:r>
        <w:rPr>
          <w:b w:val="false"/>
          <w:bCs w:val="false"/>
        </w:rPr>
        <w:t xml:space="preserve">Oublier de repartir du solde débiteur de −7 500 € (le net en compte n’est pas la trésorerie finale) ;</w:t>
      </w:r>
    </w:p>
    <w:p>
      <w:pPr>
        <w:pStyle w:val="ListParagraph"/>
        <w:numPr>
          <w:ilvl w:val="0"/>
          <w:numId w:val="2"/>
        </w:numPr>
        <w:spacing w:after="80" w:line="276"/>
        <w:jc w:val="both"/>
      </w:pPr>
      <w:r>
        <w:rPr>
          <w:b w:val="false"/>
          <w:bCs w:val="false"/>
        </w:rPr>
        <w:t xml:space="preserve">Confondre valeur nominale (8 000 €) et net porté en compte (7 970,59 €).</w:t>
      </w:r>
    </w:p>
    <w:p>
      <w:pPr>
        <w:pStyle w:val="Heading3"/>
        <w:spacing w:after="100" w:before="240"/>
      </w:pPr>
      <w:r>
        <w:rPr>
          <w:b/>
          <w:bCs/>
          <w:color w:val="C55A11"/>
          <w:sz w:val="23"/>
          <w:szCs w:val="23"/>
        </w:rPr>
        <w:t xml:space="preserve">Exemple complémentaire</w:t>
      </w:r>
    </w:p>
    <w:p>
      <w:pPr>
        <w:spacing w:after="140" w:before="0" w:line="276"/>
        <w:jc w:val="both"/>
      </w:pPr>
      <w:r>
        <w:rPr>
          <w:b w:val="false"/>
          <w:bCs w:val="false"/>
        </w:rPr>
        <w:t xml:space="preserve">Effet de 5 000 € escompté 36 jours avant échéance, taux 3 %, commission 10 € HT (TVA 20 %). Net porté en compte ? </w:t>
      </w:r>
      <w:r>
        <w:rPr>
          <w:b/>
          <w:bCs/>
        </w:rPr>
        <w:t xml:space="preserve">Corrigé</w:t>
      </w:r>
      <w:r>
        <w:rPr>
          <w:b w:val="false"/>
          <w:bCs w:val="false"/>
        </w:rPr>
        <w:t xml:space="preserve"> : escompte = 5 000 × 0,03 × 36/360 = 15 € ; commission TTC = 12 € ; net = 5 000 − 27 = </w:t>
      </w:r>
      <w:r>
        <w:rPr>
          <w:b/>
          <w:bCs/>
        </w:rPr>
        <w:t xml:space="preserve">4 973 €</w:t>
      </w:r>
      <w:r>
        <w:rPr>
          <w:b w:val="false"/>
          <w:bCs w:val="false"/>
        </w:rPr>
        <w:t xml:space="preserve">.</w:t>
      </w:r>
    </w:p>
    <w:p>
      <w:pPr>
        <w:pStyle w:val="Heading3"/>
        <w:spacing w:after="100" w:before="240"/>
      </w:pPr>
      <w:r>
        <w:rPr>
          <w:b/>
          <w:bCs/>
          <w:color w:val="C55A11"/>
          <w:sz w:val="23"/>
          <w:szCs w:val="23"/>
        </w:rPr>
        <w:t xml:space="preserve">À retenir pour l’examen</w:t>
      </w:r>
    </w:p>
    <w:p>
      <w:pPr>
        <w:pBdr>
          <w:left w:val="single" w:color="375623" w:sz="16"/>
        </w:pBdr>
        <w:shd w:fill="E8F1E4" w:val="clear"/>
        <w:spacing w:after="140" w:before="100" w:line="276"/>
        <w:ind w:left="240" w:right="240"/>
        <w:jc w:val="both"/>
      </w:pPr>
      <w:r>
        <w:rPr>
          <w:b/>
          <w:bCs/>
        </w:rPr>
        <w:t xml:space="preserve">Escompte = V × t × j ÷ 360 (sans TVA) ; commission avec TVA ; net porté en compte = nominal − agios ; trésorerie finale = solde initial + net.</w:t>
      </w:r>
    </w:p>
    <w:p>
      <w:r>
        <w:br w:type="page"/>
      </w:r>
    </w:p>
    <w:p>
      <w:pPr>
        <w:pStyle w:val="Heading2"/>
        <w:pBdr>
          <w:bottom w:val="single" w:color="2E5AA0" w:sz="6"/>
        </w:pBdr>
        <w:spacing w:after="140" w:before="300"/>
      </w:pPr>
      <w:r>
        <w:rPr>
          <w:b/>
          <w:bCs/>
          <w:color w:val="1F3864"/>
          <w:sz w:val="26"/>
          <w:szCs w:val="26"/>
        </w:rPr>
        <w:t xml:space="preserve">QCM – Question 2 : la Valeur Actuelle Nette (VAN) du projet</w:t>
      </w:r>
    </w:p>
    <w:p>
      <w:pPr>
        <w:pStyle w:val="Heading3"/>
        <w:spacing w:after="100" w:before="240"/>
      </w:pPr>
      <w:r>
        <w:rPr>
          <w:b/>
          <w:bCs/>
          <w:color w:val="C55A11"/>
          <w:sz w:val="23"/>
          <w:szCs w:val="23"/>
        </w:rPr>
        <w:t xml:space="preserve">Ce que la question vous demande</w:t>
      </w:r>
    </w:p>
    <w:p>
      <w:pPr>
        <w:spacing w:after="140" w:before="0" w:line="276"/>
        <w:jc w:val="both"/>
      </w:pPr>
      <w:r>
        <w:rPr>
          <w:b w:val="false"/>
          <w:bCs w:val="false"/>
        </w:rPr>
        <w:t xml:space="preserve">Annick Rorive envisage un investissement de </w:t>
      </w:r>
      <w:r>
        <w:rPr>
          <w:b/>
          <w:bCs/>
        </w:rPr>
        <w:t xml:space="preserve">11 300 € HT</w:t>
      </w:r>
      <w:r>
        <w:rPr>
          <w:b w:val="false"/>
          <w:bCs w:val="false"/>
        </w:rPr>
        <w:t xml:space="preserve"> (nouvel univers de produits). Le tableau fournit les </w:t>
      </w:r>
      <w:r>
        <w:rPr>
          <w:b/>
          <w:bCs/>
        </w:rPr>
        <w:t xml:space="preserve">flux nets de trésorerie déjà actualisés</w:t>
      </w:r>
      <w:r>
        <w:rPr>
          <w:b w:val="false"/>
          <w:bCs w:val="false"/>
        </w:rPr>
        <w:t xml:space="preserve"> : −11 300 (2024), puis 3 372,59 ; 3 381,56 ; 3 391,52 ; 3 402,46 € de 2025 à 2028. Il faut calculer la </w:t>
      </w:r>
      <w:r>
        <w:rPr>
          <w:b/>
          <w:bCs/>
        </w:rPr>
        <w:t xml:space="preserve">VAN</w:t>
      </w:r>
      <w:r>
        <w:rPr>
          <w:b w:val="false"/>
          <w:bCs w:val="false"/>
        </w:rPr>
        <w:t xml:space="preserve">, arrondie à l’entier. Réponses : a. 2 900 € ; b. 3 500 € ; c. 2 248 € ; d. autre.</w:t>
      </w:r>
    </w:p>
    <w:p>
      <w:pPr>
        <w:pStyle w:val="Heading3"/>
        <w:spacing w:after="100" w:before="240"/>
      </w:pPr>
      <w:r>
        <w:rPr>
          <w:b/>
          <w:bCs/>
          <w:color w:val="C55A11"/>
          <w:sz w:val="23"/>
          <w:szCs w:val="23"/>
        </w:rPr>
        <w:t xml:space="preserve">Compétence et notion du référentiel mobilisées</w:t>
      </w:r>
    </w:p>
    <w:p>
      <w:pPr>
        <w:spacing w:after="140" w:before="0" w:line="276"/>
        <w:jc w:val="both"/>
      </w:pPr>
      <w:r>
        <w:rPr>
          <w:b w:val="false"/>
          <w:bCs w:val="false"/>
        </w:rPr>
        <w:t xml:space="preserve">Bloc n° 3, compétence « </w:t>
      </w:r>
      <w:r>
        <w:rPr>
          <w:b/>
          <w:bCs/>
        </w:rPr>
        <w:t xml:space="preserve">Prévoir et budgétiser l’activité</w:t>
      </w:r>
      <w:r>
        <w:rPr>
          <w:b w:val="false"/>
          <w:bCs w:val="false"/>
        </w:rPr>
        <w:t xml:space="preserve"> – participer aux décisions d’investissement ». Savoirs associés : « Les critères de choix d’investissement » (les principaux critères financiers, les flux nets de trésorerie, la rentabilité des investissements). Critère d’évaluation : « les propositions de décision d’investissement sont pertinentes ».</w:t>
      </w:r>
    </w:p>
    <w:p>
      <w:pPr>
        <w:pStyle w:val="Heading3"/>
        <w:spacing w:after="100" w:before="240"/>
      </w:pPr>
      <w:r>
        <w:rPr>
          <w:b/>
          <w:bCs/>
          <w:color w:val="C55A11"/>
          <w:sz w:val="23"/>
          <w:szCs w:val="23"/>
        </w:rPr>
        <w:t xml:space="preserve">Rappel de cours</w:t>
      </w:r>
    </w:p>
    <w:p>
      <w:pPr>
        <w:spacing w:after="140" w:before="0" w:line="276"/>
        <w:jc w:val="both"/>
      </w:pPr>
      <w:r>
        <w:rPr>
          <w:b/>
          <w:bCs/>
        </w:rPr>
        <w:t xml:space="preserve">L’actualisation</w:t>
      </w:r>
      <w:r>
        <w:rPr>
          <w:b w:val="false"/>
          <w:bCs w:val="false"/>
        </w:rPr>
        <w:t xml:space="preserve"> consiste à ramener des flux futurs à leur valeur d’aujourd’hui : un euro reçu en 2028 vaut moins qu’un euro reçu aujourd’hui (temps, risque, inflation). </w:t>
      </w:r>
      <w:r>
        <w:rPr>
          <w:b/>
          <w:bCs/>
        </w:rPr>
        <w:t xml:space="preserve">La VAN</w:t>
      </w:r>
      <w:r>
        <w:rPr>
          <w:b w:val="false"/>
          <w:bCs w:val="false"/>
        </w:rPr>
        <w:t xml:space="preserve"> compare le capital investi à la somme des flux futurs actualisés :</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VAN = Σ Flux nets de trésorerie actualisés − Investissement initial</w:t>
      </w:r>
    </w:p>
    <w:p>
      <w:pPr>
        <w:pStyle w:val="ListParagraph"/>
        <w:numPr>
          <w:ilvl w:val="0"/>
          <w:numId w:val="2"/>
        </w:numPr>
        <w:spacing w:after="80" w:line="276"/>
        <w:jc w:val="both"/>
      </w:pPr>
      <w:r>
        <w:rPr>
          <w:b/>
          <w:bCs/>
        </w:rPr>
        <w:t xml:space="preserve">VAN &gt; 0</w:t>
      </w:r>
      <w:r>
        <w:rPr>
          <w:b w:val="false"/>
          <w:bCs w:val="false"/>
        </w:rPr>
        <w:t xml:space="preserve"> : le projet rapporte plus qu’il ne coûte, compte tenu du taux d’actualisation → projet </w:t>
      </w:r>
      <w:r>
        <w:rPr>
          <w:b/>
          <w:bCs/>
        </w:rPr>
        <w:t xml:space="preserve">rentable et acceptable</w:t>
      </w:r>
      <w:r>
        <w:rPr>
          <w:b w:val="false"/>
          <w:bCs w:val="false"/>
        </w:rPr>
        <w:t xml:space="preserve"> ;</w:t>
      </w:r>
    </w:p>
    <w:p>
      <w:pPr>
        <w:pStyle w:val="ListParagraph"/>
        <w:numPr>
          <w:ilvl w:val="0"/>
          <w:numId w:val="2"/>
        </w:numPr>
        <w:spacing w:after="80" w:line="276"/>
        <w:jc w:val="both"/>
      </w:pPr>
      <w:r>
        <w:rPr>
          <w:b/>
          <w:bCs/>
        </w:rPr>
        <w:t xml:space="preserve">VAN &lt; 0</w:t>
      </w:r>
      <w:r>
        <w:rPr>
          <w:b w:val="false"/>
          <w:bCs w:val="false"/>
        </w:rPr>
        <w:t xml:space="preserve"> : projet à rejeter ; </w:t>
      </w:r>
      <w:r>
        <w:rPr>
          <w:b/>
          <w:bCs/>
        </w:rPr>
        <w:t xml:space="preserve">VAN = 0</w:t>
      </w:r>
      <w:r>
        <w:rPr>
          <w:b w:val="false"/>
          <w:bCs w:val="false"/>
        </w:rPr>
        <w:t xml:space="preserve"> : le projet rémunère exactement le taux exigé.</w:t>
      </w:r>
    </w:p>
    <w:p>
      <w:pPr>
        <w:spacing w:after="140" w:before="0" w:line="276"/>
        <w:jc w:val="both"/>
      </w:pPr>
      <w:r>
        <w:rPr>
          <w:b/>
          <w:bCs/>
        </w:rPr>
        <w:t xml:space="preserve">Point décisif ici</w:t>
      </w:r>
      <w:r>
        <w:rPr>
          <w:b w:val="false"/>
          <w:bCs w:val="false"/>
        </w:rPr>
        <w:t xml:space="preserve"> : le sujet fournit des flux </w:t>
      </w:r>
      <w:r>
        <w:rPr>
          <w:b/>
          <w:bCs/>
        </w:rPr>
        <w:t xml:space="preserve">« actualisés »</w:t>
      </w:r>
      <w:r>
        <w:rPr>
          <w:b w:val="false"/>
          <w:bCs w:val="false"/>
        </w:rPr>
        <w:t xml:space="preserve">. Toute l’actualisation est donc déjà faite : il ne reste qu’une addition et une soustraction. Beaucoup de candidats perdent du temps (ou se trompent) en cherchant un taux d’actualisation qui n’existe pas dans l’énoncé — relisez toujours l’intitulé exact des colonnes.</w:t>
      </w:r>
    </w:p>
    <w:p>
      <w:pPr>
        <w:pStyle w:val="Heading3"/>
        <w:spacing w:after="100" w:before="240"/>
      </w:pPr>
      <w:r>
        <w:rPr>
          <w:b/>
          <w:bCs/>
          <w:color w:val="C55A11"/>
          <w:sz w:val="23"/>
          <w:szCs w:val="23"/>
        </w:rPr>
        <w:t xml:space="preserve">Méthode et correction détaillée</w:t>
      </w:r>
    </w:p>
    <w:p>
      <w:pPr>
        <w:pStyle w:val="ListParagraph"/>
        <w:numPr>
          <w:ilvl w:val="0"/>
          <w:numId w:val="2"/>
        </w:numPr>
        <w:spacing w:after="80" w:line="276"/>
        <w:jc w:val="both"/>
      </w:pPr>
      <w:r>
        <w:rPr>
          <w:b/>
          <w:bCs/>
        </w:rPr>
        <w:t xml:space="preserve">Étape 1 – Somme des flux actualisés 2025–2028</w:t>
      </w:r>
      <w:r>
        <w:rPr>
          <w:b w:val="false"/>
          <w:bCs w:val="false"/>
        </w:rPr>
        <w:t xml:space="preserve"> : 3 372,59 + 3 381,56 + 3 391,52 + 3 402,46 = </w:t>
      </w:r>
      <w:r>
        <w:rPr>
          <w:b/>
          <w:bCs/>
        </w:rPr>
        <w:t xml:space="preserve">13 548,13 €</w:t>
      </w:r>
      <w:r>
        <w:rPr>
          <w:b w:val="false"/>
          <w:bCs w:val="false"/>
        </w:rPr>
        <w:t xml:space="preserve"> ;</w:t>
      </w:r>
    </w:p>
    <w:p>
      <w:pPr>
        <w:pStyle w:val="ListParagraph"/>
        <w:numPr>
          <w:ilvl w:val="0"/>
          <w:numId w:val="2"/>
        </w:numPr>
        <w:spacing w:after="80" w:line="276"/>
        <w:jc w:val="both"/>
      </w:pPr>
      <w:r>
        <w:rPr>
          <w:b/>
          <w:bCs/>
        </w:rPr>
        <w:t xml:space="preserve">Étape 2 – VAN</w:t>
      </w:r>
      <w:r>
        <w:rPr>
          <w:b w:val="false"/>
          <w:bCs w:val="false"/>
        </w:rPr>
        <w:t xml:space="preserve"> : 13 548,13 − 11 300 = </w:t>
      </w:r>
      <w:r>
        <w:rPr>
          <w:b/>
          <w:bCs/>
        </w:rPr>
        <w:t xml:space="preserve">2 248,13 €</w:t>
      </w:r>
      <w:r>
        <w:rPr>
          <w:b w:val="false"/>
          <w:bCs w:val="false"/>
        </w:rPr>
        <w:t xml:space="preserve">, arrondie à </w:t>
      </w:r>
      <w:r>
        <w:rPr>
          <w:b/>
          <w:bCs/>
        </w:rPr>
        <w:t xml:space="preserve">2 248 €</w:t>
      </w:r>
      <w:r>
        <w:rPr>
          <w:b w:val="false"/>
          <w:bCs w:val="false"/>
        </w:rPr>
        <w:t xml:space="preserve">.</w:t>
      </w:r>
    </w:p>
    <w:p>
      <w:pPr>
        <w:spacing w:after="140" w:before="0" w:line="276"/>
        <w:jc w:val="both"/>
      </w:pPr>
      <w:r>
        <w:rPr>
          <w:b/>
          <w:bCs/>
        </w:rPr>
        <w:t xml:space="preserve">Bonne réponse : c. 2 248 €.</w:t>
      </w:r>
    </w:p>
    <w:p>
      <w:pPr>
        <w:pStyle w:val="Heading3"/>
        <w:spacing w:after="100" w:before="240"/>
      </w:pPr>
      <w:r>
        <w:rPr>
          <w:b/>
          <w:bCs/>
          <w:color w:val="C55A11"/>
          <w:sz w:val="23"/>
          <w:szCs w:val="23"/>
        </w:rPr>
        <w:t xml:space="preserve">Interprétation du résultat</w:t>
      </w:r>
    </w:p>
    <w:p>
      <w:pPr>
        <w:spacing w:after="140" w:before="0" w:line="276"/>
        <w:jc w:val="both"/>
      </w:pPr>
      <w:r>
        <w:rPr>
          <w:b w:val="false"/>
          <w:bCs w:val="false"/>
        </w:rPr>
        <w:t xml:space="preserve">La VAN est </w:t>
      </w:r>
      <w:r>
        <w:rPr>
          <w:b/>
          <w:bCs/>
        </w:rPr>
        <w:t xml:space="preserve">positive</w:t>
      </w:r>
      <w:r>
        <w:rPr>
          <w:b w:val="false"/>
          <w:bCs w:val="false"/>
        </w:rPr>
        <w:t xml:space="preserve"> : sur la durée du projet, le nouvel univers de produits crée </w:t>
      </w:r>
      <w:r>
        <w:rPr>
          <w:b/>
          <w:bCs/>
        </w:rPr>
        <w:t xml:space="preserve">2 248 € de valeur</w:t>
      </w:r>
      <w:r>
        <w:rPr>
          <w:b w:val="false"/>
          <w:bCs w:val="false"/>
        </w:rPr>
        <w:t xml:space="preserve"> au-delà de la récupération du capital investi et de la rémunération exigée des fonds. Sur le seul critère de la VAN, l’investissement est </w:t>
      </w:r>
      <w:r>
        <w:rPr>
          <w:b/>
          <w:bCs/>
        </w:rPr>
        <w:t xml:space="preserve">financièrement acceptable</w:t>
      </w:r>
      <w:r>
        <w:rPr>
          <w:b w:val="false"/>
          <w:bCs w:val="false"/>
        </w:rPr>
        <w:t xml:space="preserve">. Mais attention : Annick Rorive a posé une exigence supplémentaire — être rentabilisée avant le 31/12/2027 — que la VAN, calculée sur la durée totale, ne mesure pas. C’est l’objet de la question 3 : un projet peut être rentable « au global » tout en récupérant sa mise trop lentement au goût de l’investisseur.</w:t>
      </w:r>
    </w:p>
    <w:p>
      <w:pPr>
        <w:pStyle w:val="Heading3"/>
        <w:spacing w:after="100" w:before="240"/>
      </w:pPr>
      <w:r>
        <w:rPr>
          <w:b/>
          <w:bCs/>
          <w:color w:val="C55A11"/>
          <w:sz w:val="23"/>
          <w:szCs w:val="23"/>
        </w:rPr>
        <w:t xml:space="preserve">Conseils du correcteur et erreurs fréquentes à éviter</w:t>
      </w:r>
    </w:p>
    <w:p>
      <w:pPr>
        <w:pBdr>
          <w:left w:val="single" w:color="C55A11" w:sz="16"/>
        </w:pBdr>
        <w:shd w:fill="FBF2E4" w:val="clear"/>
        <w:spacing w:after="140" w:before="100" w:line="276"/>
        <w:ind w:left="240" w:right="240"/>
        <w:jc w:val="both"/>
      </w:pPr>
      <w:r>
        <w:rPr>
          <w:b w:val="false"/>
          <w:bCs w:val="false"/>
          <w:i/>
          <w:iCs/>
          <w:color w:val="3B3B3B"/>
        </w:rPr>
        <w:t xml:space="preserve">Question cadeau si vous lisez bien : « flux nets de trésorerie actualisés ». Deux opérations, trente secondes de calculatrice. Posez la somme, posez la soustraction, encadrez « réponse c ». Et gardez en tête la définition pour la question suivante.</w:t>
      </w:r>
    </w:p>
    <w:p>
      <w:pPr>
        <w:pStyle w:val="ListParagraph"/>
        <w:numPr>
          <w:ilvl w:val="0"/>
          <w:numId w:val="2"/>
        </w:numPr>
        <w:spacing w:after="80" w:line="276"/>
        <w:jc w:val="both"/>
      </w:pPr>
      <w:r>
        <w:rPr>
          <w:b w:val="false"/>
          <w:bCs w:val="false"/>
        </w:rPr>
        <w:t xml:space="preserve">Oublier de retrancher l’investissement (13 548 € n’est pas la VAN) ;</w:t>
      </w:r>
    </w:p>
    <w:p>
      <w:pPr>
        <w:pStyle w:val="ListParagraph"/>
        <w:numPr>
          <w:ilvl w:val="0"/>
          <w:numId w:val="2"/>
        </w:numPr>
        <w:spacing w:after="80" w:line="276"/>
        <w:jc w:val="both"/>
      </w:pPr>
      <w:r>
        <w:rPr>
          <w:b w:val="false"/>
          <w:bCs w:val="false"/>
        </w:rPr>
        <w:t xml:space="preserve">Additionner le flux de 2024 (−11 300) deux fois, ou l’oublier dans la logique du tableau ;</w:t>
      </w:r>
    </w:p>
    <w:p>
      <w:pPr>
        <w:pStyle w:val="ListParagraph"/>
        <w:numPr>
          <w:ilvl w:val="0"/>
          <w:numId w:val="2"/>
        </w:numPr>
        <w:spacing w:after="80" w:line="276"/>
        <w:jc w:val="both"/>
      </w:pPr>
      <w:r>
        <w:rPr>
          <w:b w:val="false"/>
          <w:bCs w:val="false"/>
        </w:rPr>
        <w:t xml:space="preserve">Chercher à ré-actualiser des flux déjà actualisés ;</w:t>
      </w:r>
    </w:p>
    <w:p>
      <w:pPr>
        <w:pStyle w:val="ListParagraph"/>
        <w:numPr>
          <w:ilvl w:val="0"/>
          <w:numId w:val="2"/>
        </w:numPr>
        <w:spacing w:after="80" w:line="276"/>
        <w:jc w:val="both"/>
      </w:pPr>
      <w:r>
        <w:rPr>
          <w:b w:val="false"/>
          <w:bCs w:val="false"/>
        </w:rPr>
        <w:t xml:space="preserve">Arrondir chaque flux avant la somme (arrondissez uniquement le résultat final).</w:t>
      </w:r>
    </w:p>
    <w:p>
      <w:pPr>
        <w:pStyle w:val="Heading3"/>
        <w:spacing w:after="100" w:before="240"/>
      </w:pPr>
      <w:r>
        <w:rPr>
          <w:b/>
          <w:bCs/>
          <w:color w:val="C55A11"/>
          <w:sz w:val="23"/>
          <w:szCs w:val="23"/>
        </w:rPr>
        <w:t xml:space="preserve">Exemple complémentaire</w:t>
      </w:r>
    </w:p>
    <w:p>
      <w:pPr>
        <w:spacing w:after="140" w:before="0" w:line="276"/>
        <w:jc w:val="both"/>
      </w:pPr>
      <w:r>
        <w:rPr>
          <w:b w:val="false"/>
          <w:bCs w:val="false"/>
        </w:rPr>
        <w:t xml:space="preserve">Investissement de 20 000 € ; flux actualisés : 6 500, 7 200, 8 100 €. </w:t>
      </w:r>
      <w:r>
        <w:rPr>
          <w:b/>
          <w:bCs/>
        </w:rPr>
        <w:t xml:space="preserve">VAN = 21 800 − 20 000 = +1 800 €</w:t>
      </w:r>
      <w:r>
        <w:rPr>
          <w:b w:val="false"/>
          <w:bCs w:val="false"/>
        </w:rPr>
        <w:t xml:space="preserve"> : projet acceptable.</w:t>
      </w:r>
    </w:p>
    <w:p>
      <w:pPr>
        <w:pStyle w:val="Heading3"/>
        <w:spacing w:after="100" w:before="240"/>
      </w:pPr>
      <w:r>
        <w:rPr>
          <w:b/>
          <w:bCs/>
          <w:color w:val="C55A11"/>
          <w:sz w:val="23"/>
          <w:szCs w:val="23"/>
        </w:rPr>
        <w:t xml:space="preserve">À retenir pour l’examen</w:t>
      </w:r>
    </w:p>
    <w:p>
      <w:pPr>
        <w:pBdr>
          <w:left w:val="single" w:color="375623" w:sz="16"/>
        </w:pBdr>
        <w:shd w:fill="E8F1E4" w:val="clear"/>
        <w:spacing w:after="140" w:before="100" w:line="276"/>
        <w:ind w:left="240" w:right="240"/>
        <w:jc w:val="both"/>
      </w:pPr>
      <w:r>
        <w:rPr>
          <w:b/>
          <w:bCs/>
        </w:rPr>
        <w:t xml:space="preserve">VAN = somme des flux actualisés − investissement initial ; VAN &gt; 0 ⇒ projet rentable.</w:t>
      </w:r>
      <w:r>
        <w:rPr>
          <w:b w:val="false"/>
          <w:bCs w:val="false"/>
        </w:rPr>
        <w:t xml:space="preserve"> Si les flux sont donnés « actualisés », n’actualisez pas une seconde fois.</w:t>
      </w:r>
    </w:p>
    <w:p>
      <w:r>
        <w:br w:type="page"/>
      </w:r>
    </w:p>
    <w:p>
      <w:pPr>
        <w:pStyle w:val="Heading2"/>
        <w:pBdr>
          <w:bottom w:val="single" w:color="2E5AA0" w:sz="6"/>
        </w:pBdr>
        <w:spacing w:after="140" w:before="300"/>
      </w:pPr>
      <w:r>
        <w:rPr>
          <w:b/>
          <w:bCs/>
          <w:color w:val="1F3864"/>
          <w:sz w:val="26"/>
          <w:szCs w:val="26"/>
        </w:rPr>
        <w:t xml:space="preserve">QCM – Question 3 : le délai de récupération du capital investi (DRCI)</w:t>
      </w:r>
    </w:p>
    <w:p>
      <w:pPr>
        <w:pStyle w:val="Heading3"/>
        <w:spacing w:after="100" w:before="240"/>
      </w:pPr>
      <w:r>
        <w:rPr>
          <w:b/>
          <w:bCs/>
          <w:color w:val="C55A11"/>
          <w:sz w:val="23"/>
          <w:szCs w:val="23"/>
        </w:rPr>
        <w:t xml:space="preserve">Ce que la question vous demande</w:t>
      </w:r>
    </w:p>
    <w:p>
      <w:pPr>
        <w:spacing w:after="140" w:before="0" w:line="276"/>
        <w:jc w:val="both"/>
      </w:pPr>
      <w:r>
        <w:rPr>
          <w:b w:val="false"/>
          <w:bCs w:val="false"/>
        </w:rPr>
        <w:t xml:space="preserve">Toujours sur le même projet, il faut déterminer </w:t>
      </w:r>
      <w:r>
        <w:rPr>
          <w:b/>
          <w:bCs/>
        </w:rPr>
        <w:t xml:space="preserve">au bout de combien de temps les flux cumulés remboursent l’investissement</w:t>
      </w:r>
      <w:r>
        <w:rPr>
          <w:b w:val="false"/>
          <w:bCs w:val="false"/>
        </w:rPr>
        <w:t xml:space="preserve"> de 11 300 €, puis confronter ce délai à l’exigence d’Annick Rorive (rentabilisation </w:t>
      </w:r>
      <w:r>
        <w:rPr>
          <w:b/>
          <w:bCs/>
        </w:rPr>
        <w:t xml:space="preserve">avant le 31/12/2027</w:t>
      </w:r>
      <w:r>
        <w:rPr>
          <w:b w:val="false"/>
          <w:bCs w:val="false"/>
        </w:rPr>
        <w:t xml:space="preserve">). Réponses proposées : a. 1 an et 4 mois ; b. 2 ans et 8 mois ; c. 3 ans et 4 mois ; d. envisageable selon les exigences ; e. non envisageable selon les exigences. Le pluriel de la consigne générale prend ici tout son sens : </w:t>
      </w:r>
      <w:r>
        <w:rPr>
          <w:b/>
          <w:bCs/>
        </w:rPr>
        <w:t xml:space="preserve">deux réponses</w:t>
      </w:r>
      <w:r>
        <w:rPr>
          <w:b w:val="false"/>
          <w:bCs w:val="false"/>
        </w:rPr>
        <w:t xml:space="preserve"> sont attendues (le délai + la décision).</w:t>
      </w:r>
    </w:p>
    <w:p>
      <w:pPr>
        <w:pStyle w:val="Heading3"/>
        <w:spacing w:after="100" w:before="240"/>
      </w:pPr>
      <w:r>
        <w:rPr>
          <w:b/>
          <w:bCs/>
          <w:color w:val="C55A11"/>
          <w:sz w:val="23"/>
          <w:szCs w:val="23"/>
        </w:rPr>
        <w:t xml:space="preserve">Compétence et notion du référentiel mobilisées</w:t>
      </w:r>
    </w:p>
    <w:p>
      <w:pPr>
        <w:spacing w:after="140" w:before="0" w:line="276"/>
        <w:jc w:val="both"/>
      </w:pPr>
      <w:r>
        <w:rPr>
          <w:b w:val="false"/>
          <w:bCs w:val="false"/>
        </w:rPr>
        <w:t xml:space="preserve">Bloc n° 3, compétence « </w:t>
      </w:r>
      <w:r>
        <w:rPr>
          <w:b/>
          <w:bCs/>
        </w:rPr>
        <w:t xml:space="preserve">Prévoir et budgétiser l’activité</w:t>
      </w:r>
      <w:r>
        <w:rPr>
          <w:b w:val="false"/>
          <w:bCs w:val="false"/>
        </w:rPr>
        <w:t xml:space="preserve"> – participer aux décisions d’investissement ». Savoirs associés : « Les critères de choix d’investissement ». Critère d’évaluation : « les propositions de décision d’investissement sont pertinentes ». C’est le complément naturel de la VAN : deux critères, deux éclairages.</w:t>
      </w:r>
    </w:p>
    <w:p>
      <w:pPr>
        <w:pStyle w:val="Heading3"/>
        <w:spacing w:after="100" w:before="240"/>
      </w:pPr>
      <w:r>
        <w:rPr>
          <w:b/>
          <w:bCs/>
          <w:color w:val="C55A11"/>
          <w:sz w:val="23"/>
          <w:szCs w:val="23"/>
        </w:rPr>
        <w:t xml:space="preserve">Rappel de cours</w:t>
      </w:r>
    </w:p>
    <w:p>
      <w:pPr>
        <w:spacing w:after="140" w:before="0" w:line="276"/>
        <w:jc w:val="both"/>
      </w:pPr>
      <w:r>
        <w:rPr>
          <w:b/>
          <w:bCs/>
        </w:rPr>
        <w:t xml:space="preserve">Le délai de récupération du capital investi (DRCI, ou « pay-back »)</w:t>
      </w:r>
      <w:r>
        <w:rPr>
          <w:b w:val="false"/>
          <w:bCs w:val="false"/>
        </w:rPr>
        <w:t xml:space="preserve"> est la durée nécessaire pour que le </w:t>
      </w:r>
      <w:r>
        <w:rPr>
          <w:b/>
          <w:bCs/>
        </w:rPr>
        <w:t xml:space="preserve">cumul des flux nets de trésorerie</w:t>
      </w:r>
      <w:r>
        <w:rPr>
          <w:b w:val="false"/>
          <w:bCs w:val="false"/>
        </w:rPr>
        <w:t xml:space="preserve"> égale l’investissement initial. Plus il est court, plus le projet est liquide et moins il est risqué (on récupère vite sa mise).</w:t>
      </w:r>
    </w:p>
    <w:p>
      <w:pPr>
        <w:pBdr>
          <w:top w:val="single" w:color="2E5AA0" w:sz="4"/>
          <w:bottom w:val="single" w:color="2E5AA0" w:sz="4"/>
          <w:left w:val="single" w:color="2E5AA0" w:sz="4"/>
          <w:right w:val="single" w:color="2E5AA0" w:sz="4"/>
        </w:pBdr>
        <w:shd w:fill="EAF1FB" w:val="clear"/>
        <w:spacing w:after="160" w:before="120"/>
        <w:ind w:left="340" w:right="340"/>
        <w:jc w:val="center"/>
      </w:pPr>
      <w:r>
        <w:rPr>
          <w:b w:val="false"/>
          <w:bCs w:val="false"/>
        </w:rPr>
        <w:t xml:space="preserve">DRCI : chercher l’année où le cumul des flux atteint l’investissement, puis interpoler : mois = (reste à couvrir ÷ flux de l’année) × 12</w:t>
      </w:r>
    </w:p>
    <w:p>
      <w:pPr>
        <w:spacing w:after="140" w:before="0" w:line="276"/>
        <w:jc w:val="both"/>
      </w:pPr>
      <w:r>
        <w:rPr>
          <w:b/>
          <w:bCs/>
        </w:rPr>
        <w:t xml:space="preserve">L’interpolation linéaire</w:t>
      </w:r>
      <w:r>
        <w:rPr>
          <w:b w:val="false"/>
          <w:bCs w:val="false"/>
        </w:rPr>
        <w:t xml:space="preserve"> suppose que le flux de l’année se répartit uniformément sur les douze mois : si, en début d’année, il reste 1 154,33 € à récupérer et que l’année rapportera 3 402,46 €, la récupération intervient après 1 154,33 ÷ 3 402,46 = 0,34 année, soit environ 4 mois. </w:t>
      </w:r>
      <w:r>
        <w:rPr>
          <w:b/>
          <w:bCs/>
        </w:rPr>
        <w:t xml:space="preserve">VAN et DRCI se complètent</w:t>
      </w:r>
      <w:r>
        <w:rPr>
          <w:b w:val="false"/>
          <w:bCs w:val="false"/>
        </w:rPr>
        <w:t xml:space="preserve"> : la VAN mesure la création de valeur totale, le DRCI mesure la vitesse de récupération. Un décideur prudent (ou contraint en trésorerie) peut rejeter un projet à VAN positive si le délai est trop long — exactement le scénario du sujet.</w:t>
      </w:r>
    </w:p>
    <w:p>
      <w:pPr>
        <w:pStyle w:val="Heading3"/>
        <w:spacing w:after="100" w:before="240"/>
      </w:pPr>
      <w:r>
        <w:rPr>
          <w:b/>
          <w:bCs/>
          <w:color w:val="C55A11"/>
          <w:sz w:val="23"/>
          <w:szCs w:val="23"/>
        </w:rPr>
        <w:t xml:space="preserve">Méthode et correction détaillée</w:t>
      </w:r>
    </w:p>
    <w:p>
      <w:pPr>
        <w:spacing w:after="140" w:before="0" w:line="276"/>
        <w:jc w:val="both"/>
      </w:pPr>
      <w:r>
        <w:rPr>
          <w:b/>
          <w:bCs/>
        </w:rPr>
        <w:t xml:space="preserve">Étape 1 – Cumul des flux actualisés</w:t>
      </w:r>
      <w:r>
        <w:rPr>
          <w:b w:val="false"/>
          <w:bCs w:val="false"/>
        </w:rPr>
        <w:t xml:space="preserve"> (l’investissement étant décaissé fin 2024, les flux d’exploitation démarrent en 2025) :</w:t>
      </w:r>
    </w:p>
    <w:tbl>
      <w:tblPr>
        <w:tblW w:type="dxa" w:w="9350"/>
        <w:jc w:val="center"/>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2300"/>
        <w:gridCol w:w="3050"/>
      </w:tblGrid>
      <w:tr>
        <w:trPr>
          <w:tblHeader/>
        </w:trPr>
        <w:tc>
          <w:tcPr>
            <w:tcW w:type="dxa" w:w="15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Fin d’année</w:t>
            </w:r>
          </w:p>
        </w:tc>
        <w:tc>
          <w:tcPr>
            <w:tcW w:type="dxa" w:w="25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Flux actualisé de l’année (€)</w:t>
            </w:r>
          </w:p>
        </w:tc>
        <w:tc>
          <w:tcPr>
            <w:tcW w:type="dxa" w:w="23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Cumul des flux (€)</w:t>
            </w:r>
          </w:p>
        </w:tc>
        <w:tc>
          <w:tcPr>
            <w:tcW w:type="dxa" w:w="30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Cumul ≥ 11 300 € ?</w:t>
            </w:r>
          </w:p>
        </w:tc>
      </w:tr>
      <w:tr>
        <w:tc>
          <w:tcPr>
            <w:tcW w:type="dxa" w:w="1500"/>
            <w:tcMar>
              <w:top w:type="dxa" w:w="60"/>
              <w:left w:type="dxa" w:w="100"/>
              <w:bottom w:type="dxa" w:w="60"/>
              <w:right w:type="dxa" w:w="100"/>
            </w:tcMar>
            <w:vAlign w:val="center"/>
          </w:tcPr>
          <w:p>
            <w:pPr>
              <w:spacing w:after="0"/>
              <w:jc w:val="center"/>
            </w:pPr>
            <w:r>
              <w:rPr>
                <w:b w:val="false"/>
                <w:bCs w:val="false"/>
                <w:sz w:val="19"/>
                <w:szCs w:val="19"/>
              </w:rPr>
              <w:t xml:space="preserve">2025</w:t>
            </w:r>
          </w:p>
        </w:tc>
        <w:tc>
          <w:tcPr>
            <w:tcW w:type="dxa" w:w="2500"/>
            <w:tcMar>
              <w:top w:type="dxa" w:w="60"/>
              <w:left w:type="dxa" w:w="100"/>
              <w:bottom w:type="dxa" w:w="60"/>
              <w:right w:type="dxa" w:w="100"/>
            </w:tcMar>
            <w:vAlign w:val="center"/>
          </w:tcPr>
          <w:p>
            <w:pPr>
              <w:spacing w:after="0"/>
              <w:jc w:val="center"/>
            </w:pPr>
            <w:r>
              <w:rPr>
                <w:b w:val="false"/>
                <w:bCs w:val="false"/>
                <w:sz w:val="19"/>
                <w:szCs w:val="19"/>
              </w:rPr>
              <w:t xml:space="preserve">3 372,59</w:t>
            </w:r>
          </w:p>
        </w:tc>
        <w:tc>
          <w:tcPr>
            <w:tcW w:type="dxa" w:w="2300"/>
            <w:tcMar>
              <w:top w:type="dxa" w:w="60"/>
              <w:left w:type="dxa" w:w="100"/>
              <w:bottom w:type="dxa" w:w="60"/>
              <w:right w:type="dxa" w:w="100"/>
            </w:tcMar>
            <w:vAlign w:val="center"/>
          </w:tcPr>
          <w:p>
            <w:pPr>
              <w:spacing w:after="0"/>
              <w:jc w:val="center"/>
            </w:pPr>
            <w:r>
              <w:rPr>
                <w:b w:val="false"/>
                <w:bCs w:val="false"/>
                <w:sz w:val="19"/>
                <w:szCs w:val="19"/>
              </w:rPr>
              <w:t xml:space="preserve">3 372,59</w:t>
            </w:r>
          </w:p>
        </w:tc>
        <w:tc>
          <w:tcPr>
            <w:tcW w:type="dxa" w:w="3050"/>
            <w:tcMar>
              <w:top w:type="dxa" w:w="60"/>
              <w:left w:type="dxa" w:w="100"/>
              <w:bottom w:type="dxa" w:w="60"/>
              <w:right w:type="dxa" w:w="100"/>
            </w:tcMar>
            <w:vAlign w:val="center"/>
          </w:tcPr>
          <w:p>
            <w:pPr>
              <w:spacing w:after="0"/>
              <w:jc w:val="center"/>
            </w:pPr>
            <w:r>
              <w:rPr>
                <w:b w:val="false"/>
                <w:bCs w:val="false"/>
                <w:sz w:val="19"/>
                <w:szCs w:val="19"/>
              </w:rPr>
              <w:t xml:space="preserve">Non</w:t>
            </w:r>
          </w:p>
        </w:tc>
      </w:tr>
      <w:tr>
        <w:tc>
          <w:tcPr>
            <w:tcW w:type="dxa" w:w="1500"/>
            <w:tcMar>
              <w:top w:type="dxa" w:w="60"/>
              <w:left w:type="dxa" w:w="100"/>
              <w:bottom w:type="dxa" w:w="60"/>
              <w:right w:type="dxa" w:w="100"/>
            </w:tcMar>
            <w:vAlign w:val="center"/>
          </w:tcPr>
          <w:p>
            <w:pPr>
              <w:spacing w:after="0"/>
              <w:jc w:val="center"/>
            </w:pPr>
            <w:r>
              <w:rPr>
                <w:b w:val="false"/>
                <w:bCs w:val="false"/>
                <w:sz w:val="19"/>
                <w:szCs w:val="19"/>
              </w:rPr>
              <w:t xml:space="preserve">2026</w:t>
            </w:r>
          </w:p>
        </w:tc>
        <w:tc>
          <w:tcPr>
            <w:tcW w:type="dxa" w:w="2500"/>
            <w:tcMar>
              <w:top w:type="dxa" w:w="60"/>
              <w:left w:type="dxa" w:w="100"/>
              <w:bottom w:type="dxa" w:w="60"/>
              <w:right w:type="dxa" w:w="100"/>
            </w:tcMar>
            <w:vAlign w:val="center"/>
          </w:tcPr>
          <w:p>
            <w:pPr>
              <w:spacing w:after="0"/>
              <w:jc w:val="center"/>
            </w:pPr>
            <w:r>
              <w:rPr>
                <w:b w:val="false"/>
                <w:bCs w:val="false"/>
                <w:sz w:val="19"/>
                <w:szCs w:val="19"/>
              </w:rPr>
              <w:t xml:space="preserve">3 381,56</w:t>
            </w:r>
          </w:p>
        </w:tc>
        <w:tc>
          <w:tcPr>
            <w:tcW w:type="dxa" w:w="2300"/>
            <w:tcMar>
              <w:top w:type="dxa" w:w="60"/>
              <w:left w:type="dxa" w:w="100"/>
              <w:bottom w:type="dxa" w:w="60"/>
              <w:right w:type="dxa" w:w="100"/>
            </w:tcMar>
            <w:vAlign w:val="center"/>
          </w:tcPr>
          <w:p>
            <w:pPr>
              <w:spacing w:after="0"/>
              <w:jc w:val="center"/>
            </w:pPr>
            <w:r>
              <w:rPr>
                <w:b w:val="false"/>
                <w:bCs w:val="false"/>
                <w:sz w:val="19"/>
                <w:szCs w:val="19"/>
              </w:rPr>
              <w:t xml:space="preserve">6 754,15</w:t>
            </w:r>
          </w:p>
        </w:tc>
        <w:tc>
          <w:tcPr>
            <w:tcW w:type="dxa" w:w="3050"/>
            <w:tcMar>
              <w:top w:type="dxa" w:w="60"/>
              <w:left w:type="dxa" w:w="100"/>
              <w:bottom w:type="dxa" w:w="60"/>
              <w:right w:type="dxa" w:w="100"/>
            </w:tcMar>
            <w:vAlign w:val="center"/>
          </w:tcPr>
          <w:p>
            <w:pPr>
              <w:spacing w:after="0"/>
              <w:jc w:val="center"/>
            </w:pPr>
            <w:r>
              <w:rPr>
                <w:b w:val="false"/>
                <w:bCs w:val="false"/>
                <w:sz w:val="19"/>
                <w:szCs w:val="19"/>
              </w:rPr>
              <w:t xml:space="preserve">Non</w:t>
            </w:r>
          </w:p>
        </w:tc>
      </w:tr>
      <w:tr>
        <w:tc>
          <w:tcPr>
            <w:tcW w:type="dxa" w:w="1500"/>
            <w:tcMar>
              <w:top w:type="dxa" w:w="60"/>
              <w:left w:type="dxa" w:w="100"/>
              <w:bottom w:type="dxa" w:w="60"/>
              <w:right w:type="dxa" w:w="100"/>
            </w:tcMar>
            <w:vAlign w:val="center"/>
          </w:tcPr>
          <w:p>
            <w:pPr>
              <w:spacing w:after="0"/>
              <w:jc w:val="center"/>
            </w:pPr>
            <w:r>
              <w:rPr>
                <w:b w:val="false"/>
                <w:bCs w:val="false"/>
                <w:sz w:val="19"/>
                <w:szCs w:val="19"/>
              </w:rPr>
              <w:t xml:space="preserve">2027</w:t>
            </w:r>
          </w:p>
        </w:tc>
        <w:tc>
          <w:tcPr>
            <w:tcW w:type="dxa" w:w="2500"/>
            <w:tcMar>
              <w:top w:type="dxa" w:w="60"/>
              <w:left w:type="dxa" w:w="100"/>
              <w:bottom w:type="dxa" w:w="60"/>
              <w:right w:type="dxa" w:w="100"/>
            </w:tcMar>
            <w:vAlign w:val="center"/>
          </w:tcPr>
          <w:p>
            <w:pPr>
              <w:spacing w:after="0"/>
              <w:jc w:val="center"/>
            </w:pPr>
            <w:r>
              <w:rPr>
                <w:b w:val="false"/>
                <w:bCs w:val="false"/>
                <w:sz w:val="19"/>
                <w:szCs w:val="19"/>
              </w:rPr>
              <w:t xml:space="preserve">3 391,52</w:t>
            </w:r>
          </w:p>
        </w:tc>
        <w:tc>
          <w:tcPr>
            <w:tcW w:type="dxa" w:w="2300"/>
            <w:tcMar>
              <w:top w:type="dxa" w:w="60"/>
              <w:left w:type="dxa" w:w="100"/>
              <w:bottom w:type="dxa" w:w="60"/>
              <w:right w:type="dxa" w:w="100"/>
            </w:tcMar>
            <w:vAlign w:val="center"/>
          </w:tcPr>
          <w:p>
            <w:pPr>
              <w:spacing w:after="0"/>
              <w:jc w:val="center"/>
            </w:pPr>
            <w:r>
              <w:rPr>
                <w:b w:val="false"/>
                <w:bCs w:val="false"/>
                <w:sz w:val="19"/>
                <w:szCs w:val="19"/>
              </w:rPr>
              <w:t xml:space="preserve">10 145,67</w:t>
            </w:r>
          </w:p>
        </w:tc>
        <w:tc>
          <w:tcPr>
            <w:tcW w:type="dxa" w:w="3050"/>
            <w:tcMar>
              <w:top w:type="dxa" w:w="60"/>
              <w:left w:type="dxa" w:w="100"/>
              <w:bottom w:type="dxa" w:w="60"/>
              <w:right w:type="dxa" w:w="100"/>
            </w:tcMar>
            <w:vAlign w:val="center"/>
          </w:tcPr>
          <w:p>
            <w:pPr>
              <w:spacing w:after="0"/>
              <w:jc w:val="center"/>
            </w:pPr>
            <w:r>
              <w:rPr>
                <w:b w:val="false"/>
                <w:bCs w:val="false"/>
                <w:sz w:val="19"/>
                <w:szCs w:val="19"/>
              </w:rPr>
              <w:t xml:space="preserve">Non</w:t>
            </w:r>
          </w:p>
        </w:tc>
      </w:tr>
      <w:tr>
        <w:tc>
          <w:tcPr>
            <w:tcW w:type="dxa" w:w="1500"/>
            <w:tcMar>
              <w:top w:type="dxa" w:w="60"/>
              <w:left w:type="dxa" w:w="100"/>
              <w:bottom w:type="dxa" w:w="60"/>
              <w:right w:type="dxa" w:w="100"/>
            </w:tcMar>
            <w:vAlign w:val="center"/>
          </w:tcPr>
          <w:p>
            <w:pPr>
              <w:spacing w:after="0"/>
              <w:jc w:val="center"/>
            </w:pPr>
            <w:r>
              <w:rPr>
                <w:b w:val="false"/>
                <w:bCs w:val="false"/>
                <w:sz w:val="19"/>
                <w:szCs w:val="19"/>
              </w:rPr>
              <w:t xml:space="preserve">2028</w:t>
            </w:r>
          </w:p>
        </w:tc>
        <w:tc>
          <w:tcPr>
            <w:tcW w:type="dxa" w:w="2500"/>
            <w:tcMar>
              <w:top w:type="dxa" w:w="60"/>
              <w:left w:type="dxa" w:w="100"/>
              <w:bottom w:type="dxa" w:w="60"/>
              <w:right w:type="dxa" w:w="100"/>
            </w:tcMar>
            <w:vAlign w:val="center"/>
          </w:tcPr>
          <w:p>
            <w:pPr>
              <w:spacing w:after="0"/>
              <w:jc w:val="center"/>
            </w:pPr>
            <w:r>
              <w:rPr>
                <w:b w:val="false"/>
                <w:bCs w:val="false"/>
                <w:sz w:val="19"/>
                <w:szCs w:val="19"/>
              </w:rPr>
              <w:t xml:space="preserve">3 402,46</w:t>
            </w:r>
          </w:p>
        </w:tc>
        <w:tc>
          <w:tcPr>
            <w:tcW w:type="dxa" w:w="2300"/>
            <w:tcMar>
              <w:top w:type="dxa" w:w="60"/>
              <w:left w:type="dxa" w:w="100"/>
              <w:bottom w:type="dxa" w:w="60"/>
              <w:right w:type="dxa" w:w="100"/>
            </w:tcMar>
            <w:vAlign w:val="center"/>
          </w:tcPr>
          <w:p>
            <w:pPr>
              <w:spacing w:after="0"/>
              <w:jc w:val="center"/>
            </w:pPr>
            <w:r>
              <w:rPr>
                <w:b w:val="false"/>
                <w:bCs w:val="false"/>
                <w:sz w:val="19"/>
                <w:szCs w:val="19"/>
              </w:rPr>
              <w:t xml:space="preserve">13 548,13</w:t>
            </w:r>
          </w:p>
        </w:tc>
        <w:tc>
          <w:tcPr>
            <w:tcW w:type="dxa" w:w="3050"/>
            <w:tcMar>
              <w:top w:type="dxa" w:w="60"/>
              <w:left w:type="dxa" w:w="100"/>
              <w:bottom w:type="dxa" w:w="60"/>
              <w:right w:type="dxa" w:w="100"/>
            </w:tcMar>
            <w:vAlign w:val="center"/>
          </w:tcPr>
          <w:p>
            <w:pPr>
              <w:spacing w:after="0"/>
              <w:jc w:val="center"/>
            </w:pPr>
            <w:r>
              <w:rPr>
                <w:b/>
                <w:bCs/>
                <w:sz w:val="19"/>
                <w:szCs w:val="19"/>
              </w:rPr>
              <w:t xml:space="preserve">Oui – récupération en cours de 2028</w:t>
            </w:r>
          </w:p>
        </w:tc>
      </w:tr>
    </w:tbl>
    <w:p>
      <w:pPr>
        <w:spacing w:after="140" w:before="160" w:line="276"/>
        <w:jc w:val="both"/>
      </w:pPr>
      <w:r>
        <w:rPr>
          <w:b/>
          <w:bCs/>
        </w:rPr>
        <w:t xml:space="preserve">Étape 2 – Interpolation dans l’année 2028</w:t>
      </w:r>
      <w:r>
        <w:rPr>
          <w:b w:val="false"/>
          <w:bCs w:val="false"/>
        </w:rPr>
        <w:t xml:space="preserve"> : reste à couvrir au 1er janvier 2028 = 11 300 − 10 145,67 = </w:t>
      </w:r>
      <w:r>
        <w:rPr>
          <w:b/>
          <w:bCs/>
        </w:rPr>
        <w:t xml:space="preserve">1 154,33 €</w:t>
      </w:r>
      <w:r>
        <w:rPr>
          <w:b w:val="false"/>
          <w:bCs w:val="false"/>
        </w:rPr>
        <w:t xml:space="preserve"> ; part de l’année nécessaire = 1 154,33 ÷ 3 402,46 = 0,3393 année ; en mois : 0,3393 × 12 = </w:t>
      </w:r>
      <w:r>
        <w:rPr>
          <w:b/>
          <w:bCs/>
        </w:rPr>
        <w:t xml:space="preserve">4,07 ≈ 4 mois</w:t>
      </w:r>
      <w:r>
        <w:rPr>
          <w:b w:val="false"/>
          <w:bCs w:val="false"/>
        </w:rPr>
        <w:t xml:space="preserve">.</w:t>
      </w:r>
    </w:p>
    <w:p>
      <w:pPr>
        <w:spacing w:after="140" w:before="0" w:line="276"/>
        <w:jc w:val="both"/>
      </w:pPr>
      <w:r>
        <w:rPr>
          <w:b/>
          <w:bCs/>
        </w:rPr>
        <w:t xml:space="preserve">Étape 3 – Conclusion sur le délai</w:t>
      </w:r>
      <w:r>
        <w:rPr>
          <w:b w:val="false"/>
          <w:bCs w:val="false"/>
        </w:rPr>
        <w:t xml:space="preserve"> : le capital est récupéré au bout de </w:t>
      </w:r>
      <w:r>
        <w:rPr>
          <w:b/>
          <w:bCs/>
        </w:rPr>
        <w:t xml:space="preserve">3 ans et 4 mois</w:t>
      </w:r>
      <w:r>
        <w:rPr>
          <w:b w:val="false"/>
          <w:bCs w:val="false"/>
        </w:rPr>
        <w:t xml:space="preserve"> (trois années pleines 2025-2027 + 4 mois de 2028), soit </w:t>
      </w:r>
      <w:r>
        <w:rPr>
          <w:b/>
          <w:bCs/>
        </w:rPr>
        <w:t xml:space="preserve">vers fin avril 2028</w:t>
      </w:r>
      <w:r>
        <w:rPr>
          <w:b w:val="false"/>
          <w:bCs w:val="false"/>
        </w:rPr>
        <w:t xml:space="preserve">. → </w:t>
      </w:r>
      <w:r>
        <w:rPr>
          <w:b/>
          <w:bCs/>
        </w:rPr>
        <w:t xml:space="preserve">Réponse c.</w:t>
      </w:r>
    </w:p>
    <w:p>
      <w:pPr>
        <w:spacing w:after="140" w:before="0" w:line="276"/>
        <w:jc w:val="both"/>
      </w:pPr>
      <w:r>
        <w:rPr>
          <w:b/>
          <w:bCs/>
        </w:rPr>
        <w:t xml:space="preserve">Étape 4 – Confrontation à l’exigence</w:t>
      </w:r>
      <w:r>
        <w:rPr>
          <w:b w:val="false"/>
          <w:bCs w:val="false"/>
        </w:rPr>
        <w:t xml:space="preserve"> : Annick Rorive exige une rentabilisation </w:t>
      </w:r>
      <w:r>
        <w:rPr>
          <w:b/>
          <w:bCs/>
        </w:rPr>
        <w:t xml:space="preserve">avant le 31/12/2027</w:t>
      </w:r>
      <w:r>
        <w:rPr>
          <w:b w:val="false"/>
          <w:bCs w:val="false"/>
        </w:rPr>
        <w:t xml:space="preserve"> ; or fin 2027, seuls 10 145,67 € sur 11 300 € sont récupérés (il manque 1 154,33 €). L’exigence n’est pas satisfaite. → </w:t>
      </w:r>
      <w:r>
        <w:rPr>
          <w:b/>
          <w:bCs/>
        </w:rPr>
        <w:t xml:space="preserve">Réponse e : l’investissement n’est pas envisageable selon les exigences d’Annick Rorive.</w:t>
      </w:r>
    </w:p>
    <w:p>
      <w:pPr>
        <w:spacing w:after="140" w:before="0" w:line="276"/>
        <w:jc w:val="both"/>
      </w:pPr>
      <w:r>
        <w:rPr>
          <w:b/>
          <w:bCs/>
        </w:rPr>
        <w:t xml:space="preserve">Bonnes réponses : c et e.</w:t>
      </w:r>
    </w:p>
    <w:p>
      <w:pPr>
        <w:pStyle w:val="Heading3"/>
        <w:spacing w:after="100" w:before="240"/>
      </w:pPr>
      <w:r>
        <w:rPr>
          <w:b/>
          <w:bCs/>
          <w:color w:val="C55A11"/>
          <w:sz w:val="23"/>
          <w:szCs w:val="23"/>
        </w:rPr>
        <w:t xml:space="preserve">Interprétation du résultat</w:t>
      </w:r>
    </w:p>
    <w:p>
      <w:pPr>
        <w:spacing w:after="140" w:before="0" w:line="276"/>
        <w:jc w:val="both"/>
      </w:pPr>
      <w:r>
        <w:rPr>
          <w:b w:val="false"/>
          <w:bCs w:val="false"/>
        </w:rPr>
        <w:t xml:space="preserve">Nous voilà face à un cas d’école de décision d’investissement : le projet </w:t>
      </w:r>
      <w:r>
        <w:rPr>
          <w:b/>
          <w:bCs/>
        </w:rPr>
        <w:t xml:space="preserve">crée de la valeur</w:t>
      </w:r>
      <w:r>
        <w:rPr>
          <w:b w:val="false"/>
          <w:bCs w:val="false"/>
        </w:rPr>
        <w:t xml:space="preserve"> (VAN = +2 248 €) mais </w:t>
      </w:r>
      <w:r>
        <w:rPr>
          <w:b/>
          <w:bCs/>
        </w:rPr>
        <w:t xml:space="preserve">ne respecte pas la contrainte de délai</w:t>
      </w:r>
      <w:r>
        <w:rPr>
          <w:b w:val="false"/>
          <w:bCs w:val="false"/>
        </w:rPr>
        <w:t xml:space="preserve"> fixée par la dirigeante (récupération en avril 2028 contre décembre 2027 exigé). La décision rationnelle dépend donc du critère prioritaire. En pratique, la responsable peut : renoncer au projet ; assouplir son exigence de délai de quatre mois (l’écart est faible) ; ou chercher à améliorer les flux des premières années (négocier l’investissement à la baisse, accélérer la montée en puissance du nouvel univers). Le rôle du gestionnaire n’est pas de « faire parler » un seul indicateur, mais d’éclairer l’arbitrage.</w:t>
      </w:r>
    </w:p>
    <w:p>
      <w:pPr>
        <w:pStyle w:val="Heading3"/>
        <w:spacing w:after="100" w:before="240"/>
      </w:pPr>
      <w:r>
        <w:rPr>
          <w:b/>
          <w:bCs/>
          <w:color w:val="C55A11"/>
          <w:sz w:val="23"/>
          <w:szCs w:val="23"/>
        </w:rPr>
        <w:t xml:space="preserve">Conseils du correcteur et erreurs fréquentes à éviter</w:t>
      </w:r>
    </w:p>
    <w:p>
      <w:pPr>
        <w:pBdr>
          <w:left w:val="single" w:color="C55A11" w:sz="16"/>
        </w:pBdr>
        <w:shd w:fill="FBF2E4" w:val="clear"/>
        <w:spacing w:after="140" w:before="100" w:line="276"/>
        <w:ind w:left="240" w:right="240"/>
        <w:jc w:val="both"/>
      </w:pPr>
      <w:r>
        <w:rPr>
          <w:b w:val="false"/>
          <w:bCs w:val="false"/>
          <w:i/>
          <w:iCs/>
          <w:color w:val="3B3B3B"/>
        </w:rPr>
        <w:t xml:space="preserve">Le tableau de cumul est votre meilleur allié : il montre le raisonnement, sécurise l’interpolation et rend la double réponse (c et e) évidente. Et surtout, n’oubliez pas de répondre aussi sur la faisabilité : la moitié des candidats coche c... et s’arrête là, perdant la moitié des points de la question.</w:t>
      </w:r>
    </w:p>
    <w:p>
      <w:pPr>
        <w:pStyle w:val="ListParagraph"/>
        <w:numPr>
          <w:ilvl w:val="0"/>
          <w:numId w:val="2"/>
        </w:numPr>
        <w:spacing w:after="80" w:line="276"/>
        <w:jc w:val="both"/>
      </w:pPr>
      <w:r>
        <w:rPr>
          <w:b w:val="false"/>
          <w:bCs w:val="false"/>
        </w:rPr>
        <w:t xml:space="preserve">Ne donner qu’une seule réponse alors que la consigne autorise explicitement plusieurs bonnes réponses ;</w:t>
      </w:r>
    </w:p>
    <w:p>
      <w:pPr>
        <w:pStyle w:val="ListParagraph"/>
        <w:numPr>
          <w:ilvl w:val="0"/>
          <w:numId w:val="2"/>
        </w:numPr>
        <w:spacing w:after="80" w:line="276"/>
        <w:jc w:val="both"/>
      </w:pPr>
      <w:r>
        <w:rPr>
          <w:b w:val="false"/>
          <w:bCs w:val="false"/>
        </w:rPr>
        <w:t xml:space="preserve">Compter 2024 comme une année de récupération (c’est l’année de l’investissement, au flux négatif) — erreur qui mène au distracteur b (2 ans et 8 mois) ;</w:t>
      </w:r>
    </w:p>
    <w:p>
      <w:pPr>
        <w:pStyle w:val="ListParagraph"/>
        <w:numPr>
          <w:ilvl w:val="0"/>
          <w:numId w:val="2"/>
        </w:numPr>
        <w:spacing w:after="80" w:line="276"/>
        <w:jc w:val="both"/>
      </w:pPr>
      <w:r>
        <w:rPr>
          <w:b w:val="false"/>
          <w:bCs w:val="false"/>
        </w:rPr>
        <w:t xml:space="preserve">Interpoler avec le mauvais flux (celui de 2027 au lieu de 2028) ;</w:t>
      </w:r>
    </w:p>
    <w:p>
      <w:pPr>
        <w:pStyle w:val="ListParagraph"/>
        <w:numPr>
          <w:ilvl w:val="0"/>
          <w:numId w:val="2"/>
        </w:numPr>
        <w:spacing w:after="80" w:line="276"/>
        <w:jc w:val="both"/>
      </w:pPr>
      <w:r>
        <w:rPr>
          <w:b w:val="false"/>
          <w:bCs w:val="false"/>
        </w:rPr>
        <w:t xml:space="preserve">Conclure « envisageable » (réponse d) au motif que la VAN est positive : la question porte sur </w:t>
      </w:r>
      <w:r>
        <w:rPr>
          <w:b/>
          <w:bCs/>
        </w:rPr>
        <w:t xml:space="preserve">les exigences d’Annick Rorive</w:t>
      </w:r>
      <w:r>
        <w:rPr>
          <w:b w:val="false"/>
          <w:bCs w:val="false"/>
        </w:rPr>
        <w:t xml:space="preserve">, c’est-à-dire le délai ;</w:t>
      </w:r>
    </w:p>
    <w:p>
      <w:pPr>
        <w:pStyle w:val="ListParagraph"/>
        <w:numPr>
          <w:ilvl w:val="0"/>
          <w:numId w:val="2"/>
        </w:numPr>
        <w:spacing w:after="80" w:line="276"/>
        <w:jc w:val="both"/>
      </w:pPr>
      <w:r>
        <w:rPr>
          <w:b w:val="false"/>
          <w:bCs w:val="false"/>
        </w:rPr>
        <w:t xml:space="preserve">Arrondir 4,07 mois à 5 mois, ou exprimer le résultat en années décimales (3,34 ans) sans conversion en mois.</w:t>
      </w:r>
    </w:p>
    <w:p>
      <w:pPr>
        <w:pStyle w:val="Heading3"/>
        <w:spacing w:after="100" w:before="240"/>
      </w:pPr>
      <w:r>
        <w:rPr>
          <w:b/>
          <w:bCs/>
          <w:color w:val="C55A11"/>
          <w:sz w:val="23"/>
          <w:szCs w:val="23"/>
        </w:rPr>
        <w:t xml:space="preserve">Exemple complémentaire</w:t>
      </w:r>
    </w:p>
    <w:p>
      <w:pPr>
        <w:spacing w:after="140" w:before="0" w:line="276"/>
        <w:jc w:val="both"/>
      </w:pPr>
      <w:r>
        <w:rPr>
          <w:b w:val="false"/>
          <w:bCs w:val="false"/>
        </w:rPr>
        <w:t xml:space="preserve">Investissement de 15 000 € ; flux actualisés annuels : 4 000, 5 000, 5 000, 6 000 €. </w:t>
      </w:r>
      <w:r>
        <w:rPr>
          <w:b/>
          <w:bCs/>
        </w:rPr>
        <w:t xml:space="preserve">Corrigé</w:t>
      </w:r>
      <w:r>
        <w:rPr>
          <w:b w:val="false"/>
          <w:bCs w:val="false"/>
        </w:rPr>
        <w:t xml:space="preserve"> : cumul fin d’année 3 = 14 000 ; reste 1 000 ; 1 000 ÷ 6 000 × 12 = 2 mois → </w:t>
      </w:r>
      <w:r>
        <w:rPr>
          <w:b/>
          <w:bCs/>
        </w:rPr>
        <w:t xml:space="preserve">DRCI = 3 ans et 2 mois</w:t>
      </w:r>
      <w:r>
        <w:rPr>
          <w:b w:val="false"/>
          <w:bCs w:val="false"/>
        </w:rPr>
        <w:t xml:space="preserve">.</w:t>
      </w:r>
    </w:p>
    <w:p>
      <w:pPr>
        <w:pStyle w:val="Heading3"/>
        <w:spacing w:after="100" w:before="240"/>
      </w:pPr>
      <w:r>
        <w:rPr>
          <w:b/>
          <w:bCs/>
          <w:color w:val="C55A11"/>
          <w:sz w:val="23"/>
          <w:szCs w:val="23"/>
        </w:rPr>
        <w:t xml:space="preserve">À retenir pour l’examen</w:t>
      </w:r>
    </w:p>
    <w:p>
      <w:pPr>
        <w:pBdr>
          <w:left w:val="single" w:color="375623" w:sz="16"/>
        </w:pBdr>
        <w:shd w:fill="E8F1E4" w:val="clear"/>
        <w:spacing w:after="140" w:before="100" w:line="276"/>
        <w:ind w:left="240" w:right="240"/>
        <w:jc w:val="both"/>
      </w:pPr>
      <w:r>
        <w:rPr>
          <w:b/>
          <w:bCs/>
        </w:rPr>
        <w:t xml:space="preserve">DRCI = moment où le cumul des flux atteint l’investissement ; interpolation : (reste ÷ flux de l’année) × 12 mois.</w:t>
      </w:r>
      <w:r>
        <w:rPr>
          <w:b w:val="false"/>
          <w:bCs w:val="false"/>
        </w:rPr>
        <w:t xml:space="preserve"> VAN et DRCI sont complémentaires : valeur créée d’un côté, vitesse de récupération de l’autre — et la décision finale se prend au regard des exigences du décideur.</w:t>
      </w:r>
    </w:p>
    <w:p>
      <w:r>
        <w:br w:type="page"/>
      </w:r>
    </w:p>
    <w:p>
      <w:pPr>
        <w:pStyle w:val="Heading2"/>
        <w:pBdr>
          <w:bottom w:val="single" w:color="2E5AA0" w:sz="6"/>
        </w:pBdr>
        <w:spacing w:after="140" w:before="300"/>
      </w:pPr>
      <w:r>
        <w:rPr>
          <w:b/>
          <w:bCs/>
          <w:color w:val="1F3864"/>
          <w:sz w:val="26"/>
          <w:szCs w:val="26"/>
        </w:rPr>
        <w:t xml:space="preserve">Synthèse du QCM – ce qu’il faut emporter</w:t>
      </w:r>
    </w:p>
    <w:p>
      <w:pPr>
        <w:pStyle w:val="ListParagraph"/>
        <w:numPr>
          <w:ilvl w:val="0"/>
          <w:numId w:val="2"/>
        </w:numPr>
        <w:spacing w:after="80" w:line="276"/>
        <w:jc w:val="both"/>
      </w:pPr>
      <w:r>
        <w:rPr>
          <w:b/>
          <w:bCs/>
        </w:rPr>
        <w:t xml:space="preserve">Un QCM d’E5 se traite comme un mini-exercice</w:t>
      </w:r>
      <w:r>
        <w:rPr>
          <w:b w:val="false"/>
          <w:bCs w:val="false"/>
        </w:rPr>
        <w:t xml:space="preserve"> : calculs posés, réponse encadrée, et attention au pluriel « la ou les bonnes réponses » ;</w:t>
      </w:r>
    </w:p>
    <w:p>
      <w:pPr>
        <w:pStyle w:val="ListParagraph"/>
        <w:numPr>
          <w:ilvl w:val="0"/>
          <w:numId w:val="2"/>
        </w:numPr>
        <w:spacing w:after="80" w:line="276"/>
        <w:jc w:val="both"/>
      </w:pPr>
      <w:r>
        <w:rPr>
          <w:b w:val="false"/>
          <w:bCs w:val="false"/>
        </w:rPr>
        <w:t xml:space="preserve">Escompte : année commerciale de 360 jours, intérêts sans TVA, commissions avec TVA ;</w:t>
      </w:r>
    </w:p>
    <w:p>
      <w:pPr>
        <w:pStyle w:val="ListParagraph"/>
        <w:numPr>
          <w:ilvl w:val="0"/>
          <w:numId w:val="2"/>
        </w:numPr>
        <w:spacing w:after="80" w:line="276"/>
        <w:jc w:val="both"/>
      </w:pPr>
      <w:r>
        <w:rPr>
          <w:b w:val="false"/>
          <w:bCs w:val="false"/>
        </w:rPr>
        <w:t xml:space="preserve">VAN = flux actualisés − investissement ; DRCI = vitesse de récupération avec interpolation ;</w:t>
      </w:r>
    </w:p>
    <w:p>
      <w:pPr>
        <w:pStyle w:val="ListParagraph"/>
        <w:numPr>
          <w:ilvl w:val="0"/>
          <w:numId w:val="2"/>
        </w:numPr>
        <w:spacing w:after="80" w:line="276"/>
        <w:jc w:val="both"/>
      </w:pPr>
      <w:r>
        <w:rPr>
          <w:b w:val="false"/>
          <w:bCs w:val="false"/>
        </w:rPr>
        <w:t xml:space="preserve">Les distracteurs matérialisent les erreurs classiques : entraînez-vous à les reconstituer.</w:t>
      </w:r>
    </w:p>
    <w:p>
      <w:pPr>
        <w:pStyle w:val="Heading1"/>
        <w:pBdr>
          <w:bottom w:val="single" w:color="C55A11" w:sz="8"/>
        </w:pBdr>
        <w:shd w:fill="1F3864" w:val="clear"/>
        <w:spacing w:after="200" w:before="240"/>
        <w:ind w:left="120" w:right="120"/>
        <w:jc w:val="left"/>
      </w:pPr>
      <w:r>
        <w:rPr>
          <w:b/>
          <w:bCs/>
          <w:color w:val="FFFFFF"/>
          <w:sz w:val="30"/>
          <w:szCs w:val="30"/>
        </w:rPr>
        <w:t xml:space="preserve">CONCLUSION GÉNÉRALE – Votre feuille de route pour l’épreuve E5</w:t>
      </w:r>
    </w:p>
    <w:p>
      <w:pPr>
        <w:pStyle w:val="Heading3"/>
        <w:spacing w:after="100" w:before="240"/>
      </w:pPr>
      <w:r>
        <w:rPr>
          <w:b/>
          <w:bCs/>
          <w:color w:val="C55A11"/>
          <w:sz w:val="23"/>
          <w:szCs w:val="23"/>
        </w:rPr>
        <w:t xml:space="preserve">Les dix formules incontournables du sujet 2024</w:t>
      </w:r>
    </w:p>
    <w:tbl>
      <w:tblPr>
        <w:tblW w:type="dxa" w:w="9350"/>
        <w:jc w:val="center"/>
        <w:tblBorders>
          <w:top w:val="single" w:color="auto" w:sz="4"/>
          <w:left w:val="single" w:color="auto" w:sz="4"/>
          <w:bottom w:val="single" w:color="auto" w:sz="4"/>
          <w:right w:val="single" w:color="auto" w:sz="4"/>
          <w:insideH w:val="single" w:color="auto" w:sz="4"/>
          <w:insideV w:val="single" w:color="auto" w:sz="4"/>
        </w:tblBorders>
      </w:tblPr>
      <w:tblGrid>
        <w:gridCol w:w="500"/>
        <w:gridCol w:w="4750"/>
        <w:gridCol w:w="4100"/>
      </w:tblGrid>
      <w:tr>
        <w:trPr>
          <w:tblHeader/>
        </w:trPr>
        <w:tc>
          <w:tcPr>
            <w:tcW w:type="dxa" w:w="5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w:t>
            </w:r>
          </w:p>
        </w:tc>
        <w:tc>
          <w:tcPr>
            <w:tcW w:type="dxa" w:w="4750"/>
            <w:shd w:fill="1F3864" w:val="clear"/>
            <w:tcMar>
              <w:top w:type="dxa" w:w="60"/>
              <w:left w:type="dxa" w:w="100"/>
              <w:bottom w:type="dxa" w:w="60"/>
              <w:right w:type="dxa" w:w="100"/>
            </w:tcMar>
            <w:vAlign w:val="center"/>
          </w:tcPr>
          <w:p>
            <w:pPr>
              <w:spacing w:after="0"/>
              <w:jc w:val="center"/>
            </w:pPr>
            <w:r>
              <w:rPr>
                <w:b/>
                <w:bCs/>
                <w:color w:val="FFFFFF"/>
                <w:sz w:val="19"/>
                <w:szCs w:val="19"/>
              </w:rPr>
              <w:t xml:space="preserve">Formule</w:t>
            </w:r>
          </w:p>
        </w:tc>
        <w:tc>
          <w:tcPr>
            <w:tcW w:type="dxa" w:w="4100"/>
            <w:shd w:fill="1F3864" w:val="clear"/>
            <w:tcMar>
              <w:top w:type="dxa" w:w="60"/>
              <w:left w:type="dxa" w:w="100"/>
              <w:bottom w:type="dxa" w:w="60"/>
              <w:right w:type="dxa" w:w="100"/>
            </w:tcMar>
            <w:vAlign w:val="center"/>
          </w:tcPr>
          <w:p>
            <w:pPr>
              <w:spacing w:after="0"/>
              <w:jc w:val="center"/>
            </w:pPr>
            <w:r>
              <w:rPr>
                <w:b/>
                <w:bCs/>
                <w:color w:val="FFFFFF"/>
                <w:sz w:val="19"/>
                <w:szCs w:val="19"/>
              </w:rPr>
              <w:t xml:space="preserve">Usage</w:t>
            </w:r>
          </w:p>
        </w:tc>
      </w:tr>
      <w:tr>
        <w:tc>
          <w:tcPr>
            <w:tcW w:type="dxa" w:w="500"/>
            <w:tcMar>
              <w:top w:type="dxa" w:w="60"/>
              <w:left w:type="dxa" w:w="100"/>
              <w:bottom w:type="dxa" w:w="60"/>
              <w:right w:type="dxa" w:w="100"/>
            </w:tcMar>
            <w:vAlign w:val="center"/>
          </w:tcPr>
          <w:p>
            <w:pPr>
              <w:spacing w:after="0"/>
            </w:pPr>
            <w:r>
              <w:rPr>
                <w:b w:val="false"/>
                <w:bCs w:val="false"/>
                <w:sz w:val="19"/>
                <w:szCs w:val="19"/>
              </w:rPr>
              <w:t xml:space="preserve">1</w:t>
            </w:r>
          </w:p>
        </w:tc>
        <w:tc>
          <w:tcPr>
            <w:tcW w:type="dxa" w:w="4750"/>
            <w:tcMar>
              <w:top w:type="dxa" w:w="60"/>
              <w:left w:type="dxa" w:w="100"/>
              <w:bottom w:type="dxa" w:w="60"/>
              <w:right w:type="dxa" w:w="100"/>
            </w:tcMar>
            <w:vAlign w:val="center"/>
          </w:tcPr>
          <w:p>
            <w:pPr>
              <w:spacing w:after="0"/>
            </w:pPr>
            <w:r>
              <w:rPr>
                <w:b w:val="false"/>
                <w:bCs w:val="false"/>
                <w:sz w:val="19"/>
                <w:szCs w:val="19"/>
              </w:rPr>
              <w:t xml:space="preserve">Taux d’évolution = (Vₐ − V_d) ÷ V_d</w:t>
            </w:r>
          </w:p>
        </w:tc>
        <w:tc>
          <w:tcPr>
            <w:tcW w:type="dxa" w:w="4100"/>
            <w:tcMar>
              <w:top w:type="dxa" w:w="60"/>
              <w:left w:type="dxa" w:w="100"/>
              <w:bottom w:type="dxa" w:w="60"/>
              <w:right w:type="dxa" w:w="100"/>
            </w:tcMar>
            <w:vAlign w:val="center"/>
          </w:tcPr>
          <w:p>
            <w:pPr>
              <w:spacing w:after="0"/>
            </w:pPr>
            <w:r>
              <w:rPr>
                <w:b w:val="false"/>
                <w:bCs w:val="false"/>
                <w:sz w:val="19"/>
                <w:szCs w:val="19"/>
              </w:rPr>
              <w:t xml:space="preserve">Dynamique du CA</w:t>
            </w:r>
          </w:p>
        </w:tc>
      </w:tr>
      <w:tr>
        <w:tc>
          <w:tcPr>
            <w:tcW w:type="dxa" w:w="500"/>
            <w:tcMar>
              <w:top w:type="dxa" w:w="60"/>
              <w:left w:type="dxa" w:w="100"/>
              <w:bottom w:type="dxa" w:w="60"/>
              <w:right w:type="dxa" w:w="100"/>
            </w:tcMar>
            <w:vAlign w:val="center"/>
          </w:tcPr>
          <w:p>
            <w:pPr>
              <w:spacing w:after="0"/>
            </w:pPr>
            <w:r>
              <w:rPr>
                <w:b w:val="false"/>
                <w:bCs w:val="false"/>
                <w:sz w:val="19"/>
                <w:szCs w:val="19"/>
              </w:rPr>
              <w:t xml:space="preserve">2</w:t>
            </w:r>
          </w:p>
        </w:tc>
        <w:tc>
          <w:tcPr>
            <w:tcW w:type="dxa" w:w="4750"/>
            <w:tcMar>
              <w:top w:type="dxa" w:w="60"/>
              <w:left w:type="dxa" w:w="100"/>
              <w:bottom w:type="dxa" w:w="60"/>
              <w:right w:type="dxa" w:w="100"/>
            </w:tcMar>
            <w:vAlign w:val="center"/>
          </w:tcPr>
          <w:p>
            <w:pPr>
              <w:spacing w:after="0"/>
            </w:pPr>
            <w:r>
              <w:rPr>
                <w:b w:val="false"/>
                <w:bCs w:val="false"/>
                <w:sz w:val="19"/>
                <w:szCs w:val="19"/>
              </w:rPr>
              <w:t xml:space="preserve">Taux de marque = Marge ÷ PV HT</w:t>
            </w:r>
          </w:p>
        </w:tc>
        <w:tc>
          <w:tcPr>
            <w:tcW w:type="dxa" w:w="4100"/>
            <w:tcMar>
              <w:top w:type="dxa" w:w="60"/>
              <w:left w:type="dxa" w:w="100"/>
              <w:bottom w:type="dxa" w:w="60"/>
              <w:right w:type="dxa" w:w="100"/>
            </w:tcMar>
            <w:vAlign w:val="center"/>
          </w:tcPr>
          <w:p>
            <w:pPr>
              <w:spacing w:after="0"/>
            </w:pPr>
            <w:r>
              <w:rPr>
                <w:b w:val="false"/>
                <w:bCs w:val="false"/>
                <w:sz w:val="19"/>
                <w:szCs w:val="19"/>
              </w:rPr>
              <w:t xml:space="preserve">Rentabilité commerciale (≠ taux de marge = Marge ÷ Coût d’achat)</w:t>
            </w:r>
          </w:p>
        </w:tc>
      </w:tr>
      <w:tr>
        <w:tc>
          <w:tcPr>
            <w:tcW w:type="dxa" w:w="500"/>
            <w:tcMar>
              <w:top w:type="dxa" w:w="60"/>
              <w:left w:type="dxa" w:w="100"/>
              <w:bottom w:type="dxa" w:w="60"/>
              <w:right w:type="dxa" w:w="100"/>
            </w:tcMar>
            <w:vAlign w:val="center"/>
          </w:tcPr>
          <w:p>
            <w:pPr>
              <w:spacing w:after="0"/>
            </w:pPr>
            <w:r>
              <w:rPr>
                <w:b w:val="false"/>
                <w:bCs w:val="false"/>
                <w:sz w:val="19"/>
                <w:szCs w:val="19"/>
              </w:rPr>
              <w:t xml:space="preserve">3</w:t>
            </w:r>
          </w:p>
        </w:tc>
        <w:tc>
          <w:tcPr>
            <w:tcW w:type="dxa" w:w="4750"/>
            <w:tcMar>
              <w:top w:type="dxa" w:w="60"/>
              <w:left w:type="dxa" w:w="100"/>
              <w:bottom w:type="dxa" w:w="60"/>
              <w:right w:type="dxa" w:w="100"/>
            </w:tcMar>
            <w:vAlign w:val="center"/>
          </w:tcPr>
          <w:p>
            <w:pPr>
              <w:spacing w:after="0"/>
            </w:pPr>
            <w:r>
              <w:rPr>
                <w:b w:val="false"/>
                <w:bCs w:val="false"/>
                <w:sz w:val="19"/>
                <w:szCs w:val="19"/>
              </w:rPr>
              <w:t xml:space="preserve">Taux de réalisation = Réalisé ÷ Objectif</w:t>
            </w:r>
          </w:p>
        </w:tc>
        <w:tc>
          <w:tcPr>
            <w:tcW w:type="dxa" w:w="4100"/>
            <w:tcMar>
              <w:top w:type="dxa" w:w="60"/>
              <w:left w:type="dxa" w:w="100"/>
              <w:bottom w:type="dxa" w:w="60"/>
              <w:right w:type="dxa" w:w="100"/>
            </w:tcMar>
            <w:vAlign w:val="center"/>
          </w:tcPr>
          <w:p>
            <w:pPr>
              <w:spacing w:after="0"/>
            </w:pPr>
            <w:r>
              <w:rPr>
                <w:b w:val="false"/>
                <w:bCs w:val="false"/>
                <w:sz w:val="19"/>
                <w:szCs w:val="19"/>
              </w:rPr>
              <w:t xml:space="preserve">Pilotage par objectifs</w:t>
            </w:r>
          </w:p>
        </w:tc>
      </w:tr>
      <w:tr>
        <w:tc>
          <w:tcPr>
            <w:tcW w:type="dxa" w:w="500"/>
            <w:tcMar>
              <w:top w:type="dxa" w:w="60"/>
              <w:left w:type="dxa" w:w="100"/>
              <w:bottom w:type="dxa" w:w="60"/>
              <w:right w:type="dxa" w:w="100"/>
            </w:tcMar>
            <w:vAlign w:val="center"/>
          </w:tcPr>
          <w:p>
            <w:pPr>
              <w:spacing w:after="0"/>
            </w:pPr>
            <w:r>
              <w:rPr>
                <w:b w:val="false"/>
                <w:bCs w:val="false"/>
                <w:sz w:val="19"/>
                <w:szCs w:val="19"/>
              </w:rPr>
              <w:t xml:space="preserve">4</w:t>
            </w:r>
          </w:p>
        </w:tc>
        <w:tc>
          <w:tcPr>
            <w:tcW w:type="dxa" w:w="4750"/>
            <w:tcMar>
              <w:top w:type="dxa" w:w="60"/>
              <w:left w:type="dxa" w:w="100"/>
              <w:bottom w:type="dxa" w:w="60"/>
              <w:right w:type="dxa" w:w="100"/>
            </w:tcMar>
            <w:vAlign w:val="center"/>
          </w:tcPr>
          <w:p>
            <w:pPr>
              <w:spacing w:after="0"/>
            </w:pPr>
            <w:r>
              <w:rPr>
                <w:b w:val="false"/>
                <w:bCs w:val="false"/>
                <w:sz w:val="19"/>
                <w:szCs w:val="19"/>
              </w:rPr>
              <w:t xml:space="preserve">PV HT = PV TTC ÷ 1,20</w:t>
            </w:r>
          </w:p>
        </w:tc>
        <w:tc>
          <w:tcPr>
            <w:tcW w:type="dxa" w:w="4100"/>
            <w:tcMar>
              <w:top w:type="dxa" w:w="60"/>
              <w:left w:type="dxa" w:w="100"/>
              <w:bottom w:type="dxa" w:w="60"/>
              <w:right w:type="dxa" w:w="100"/>
            </w:tcMar>
            <w:vAlign w:val="center"/>
          </w:tcPr>
          <w:p>
            <w:pPr>
              <w:spacing w:after="0"/>
            </w:pPr>
            <w:r>
              <w:rPr>
                <w:b w:val="false"/>
                <w:bCs w:val="false"/>
                <w:sz w:val="19"/>
                <w:szCs w:val="19"/>
              </w:rPr>
              <w:t xml:space="preserve">Passage TTC → HT (TVA 20 %)</w:t>
            </w:r>
          </w:p>
        </w:tc>
      </w:tr>
      <w:tr>
        <w:tc>
          <w:tcPr>
            <w:tcW w:type="dxa" w:w="500"/>
            <w:tcMar>
              <w:top w:type="dxa" w:w="60"/>
              <w:left w:type="dxa" w:w="100"/>
              <w:bottom w:type="dxa" w:w="60"/>
              <w:right w:type="dxa" w:w="100"/>
            </w:tcMar>
            <w:vAlign w:val="center"/>
          </w:tcPr>
          <w:p>
            <w:pPr>
              <w:spacing w:after="0"/>
            </w:pPr>
            <w:r>
              <w:rPr>
                <w:b w:val="false"/>
                <w:bCs w:val="false"/>
                <w:sz w:val="19"/>
                <w:szCs w:val="19"/>
              </w:rPr>
              <w:t xml:space="preserve">5</w:t>
            </w:r>
          </w:p>
        </w:tc>
        <w:tc>
          <w:tcPr>
            <w:tcW w:type="dxa" w:w="4750"/>
            <w:tcMar>
              <w:top w:type="dxa" w:w="60"/>
              <w:left w:type="dxa" w:w="100"/>
              <w:bottom w:type="dxa" w:w="60"/>
              <w:right w:type="dxa" w:w="100"/>
            </w:tcMar>
            <w:vAlign w:val="center"/>
          </w:tcPr>
          <w:p>
            <w:pPr>
              <w:spacing w:after="0"/>
            </w:pPr>
            <w:r>
              <w:rPr>
                <w:b w:val="false"/>
                <w:bCs w:val="false"/>
                <w:sz w:val="19"/>
                <w:szCs w:val="19"/>
              </w:rPr>
              <w:t xml:space="preserve">Prix net = Prix × (1 − r₁) × (1 − r₂)</w:t>
            </w:r>
          </w:p>
        </w:tc>
        <w:tc>
          <w:tcPr>
            <w:tcW w:type="dxa" w:w="4100"/>
            <w:tcMar>
              <w:top w:type="dxa" w:w="60"/>
              <w:left w:type="dxa" w:w="100"/>
              <w:bottom w:type="dxa" w:w="60"/>
              <w:right w:type="dxa" w:w="100"/>
            </w:tcMar>
            <w:vAlign w:val="center"/>
          </w:tcPr>
          <w:p>
            <w:pPr>
              <w:spacing w:after="0"/>
            </w:pPr>
            <w:r>
              <w:rPr>
                <w:b w:val="false"/>
                <w:bCs w:val="false"/>
                <w:sz w:val="19"/>
                <w:szCs w:val="19"/>
              </w:rPr>
              <w:t xml:space="preserve">Remises en cascade</w:t>
            </w:r>
          </w:p>
        </w:tc>
      </w:tr>
      <w:tr>
        <w:tc>
          <w:tcPr>
            <w:tcW w:type="dxa" w:w="500"/>
            <w:tcMar>
              <w:top w:type="dxa" w:w="60"/>
              <w:left w:type="dxa" w:w="100"/>
              <w:bottom w:type="dxa" w:w="60"/>
              <w:right w:type="dxa" w:w="100"/>
            </w:tcMar>
            <w:vAlign w:val="center"/>
          </w:tcPr>
          <w:p>
            <w:pPr>
              <w:spacing w:after="0"/>
            </w:pPr>
            <w:r>
              <w:rPr>
                <w:b w:val="false"/>
                <w:bCs w:val="false"/>
                <w:sz w:val="19"/>
                <w:szCs w:val="19"/>
              </w:rPr>
              <w:t xml:space="preserve">6</w:t>
            </w:r>
          </w:p>
        </w:tc>
        <w:tc>
          <w:tcPr>
            <w:tcW w:type="dxa" w:w="4750"/>
            <w:tcMar>
              <w:top w:type="dxa" w:w="60"/>
              <w:left w:type="dxa" w:w="100"/>
              <w:bottom w:type="dxa" w:w="60"/>
              <w:right w:type="dxa" w:w="100"/>
            </w:tcMar>
            <w:vAlign w:val="center"/>
          </w:tcPr>
          <w:p>
            <w:pPr>
              <w:spacing w:after="0"/>
            </w:pPr>
            <w:r>
              <w:rPr>
                <w:b w:val="false"/>
                <w:bCs w:val="false"/>
                <w:sz w:val="19"/>
                <w:szCs w:val="19"/>
              </w:rPr>
              <w:t xml:space="preserve">Prévision mois = (Annuel ÷ 12) × coef. saisonnier</w:t>
            </w:r>
          </w:p>
        </w:tc>
        <w:tc>
          <w:tcPr>
            <w:tcW w:type="dxa" w:w="4100"/>
            <w:tcMar>
              <w:top w:type="dxa" w:w="60"/>
              <w:left w:type="dxa" w:w="100"/>
              <w:bottom w:type="dxa" w:w="60"/>
              <w:right w:type="dxa" w:w="100"/>
            </w:tcMar>
            <w:vAlign w:val="center"/>
          </w:tcPr>
          <w:p>
            <w:pPr>
              <w:spacing w:after="0"/>
            </w:pPr>
            <w:r>
              <w:rPr>
                <w:b w:val="false"/>
                <w:bCs w:val="false"/>
                <w:sz w:val="19"/>
                <w:szCs w:val="19"/>
              </w:rPr>
              <w:t xml:space="preserve">Mensualisation des ventes</w:t>
            </w:r>
          </w:p>
        </w:tc>
      </w:tr>
      <w:tr>
        <w:tc>
          <w:tcPr>
            <w:tcW w:type="dxa" w:w="500"/>
            <w:tcMar>
              <w:top w:type="dxa" w:w="60"/>
              <w:left w:type="dxa" w:w="100"/>
              <w:bottom w:type="dxa" w:w="60"/>
              <w:right w:type="dxa" w:w="100"/>
            </w:tcMar>
            <w:vAlign w:val="center"/>
          </w:tcPr>
          <w:p>
            <w:pPr>
              <w:spacing w:after="0"/>
            </w:pPr>
            <w:r>
              <w:rPr>
                <w:b w:val="false"/>
                <w:bCs w:val="false"/>
                <w:sz w:val="19"/>
                <w:szCs w:val="19"/>
              </w:rPr>
              <w:t xml:space="preserve">7</w:t>
            </w:r>
          </w:p>
        </w:tc>
        <w:tc>
          <w:tcPr>
            <w:tcW w:type="dxa" w:w="4750"/>
            <w:tcMar>
              <w:top w:type="dxa" w:w="60"/>
              <w:left w:type="dxa" w:w="100"/>
              <w:bottom w:type="dxa" w:w="60"/>
              <w:right w:type="dxa" w:w="100"/>
            </w:tcMar>
            <w:vAlign w:val="center"/>
          </w:tcPr>
          <w:p>
            <w:pPr>
              <w:spacing w:after="0"/>
            </w:pPr>
            <w:r>
              <w:rPr>
                <w:b w:val="false"/>
                <w:bCs w:val="false"/>
                <w:sz w:val="19"/>
                <w:szCs w:val="19"/>
              </w:rPr>
              <w:t xml:space="preserve">Livraison = Ventes + Stock sécurité − Stock initial</w:t>
            </w:r>
          </w:p>
        </w:tc>
        <w:tc>
          <w:tcPr>
            <w:tcW w:type="dxa" w:w="4100"/>
            <w:tcMar>
              <w:top w:type="dxa" w:w="60"/>
              <w:left w:type="dxa" w:w="100"/>
              <w:bottom w:type="dxa" w:w="60"/>
              <w:right w:type="dxa" w:w="100"/>
            </w:tcMar>
            <w:vAlign w:val="center"/>
          </w:tcPr>
          <w:p>
            <w:pPr>
              <w:spacing w:after="0"/>
            </w:pPr>
            <w:r>
              <w:rPr>
                <w:b w:val="false"/>
                <w:bCs w:val="false"/>
                <w:sz w:val="19"/>
                <w:szCs w:val="19"/>
              </w:rPr>
              <w:t xml:space="preserve">Programme d’approvisionnement</w:t>
            </w:r>
          </w:p>
        </w:tc>
      </w:tr>
      <w:tr>
        <w:tc>
          <w:tcPr>
            <w:tcW w:type="dxa" w:w="500"/>
            <w:tcMar>
              <w:top w:type="dxa" w:w="60"/>
              <w:left w:type="dxa" w:w="100"/>
              <w:bottom w:type="dxa" w:w="60"/>
              <w:right w:type="dxa" w:w="100"/>
            </w:tcMar>
            <w:vAlign w:val="center"/>
          </w:tcPr>
          <w:p>
            <w:pPr>
              <w:spacing w:after="0"/>
            </w:pPr>
            <w:r>
              <w:rPr>
                <w:b w:val="false"/>
                <w:bCs w:val="false"/>
                <w:sz w:val="19"/>
                <w:szCs w:val="19"/>
              </w:rPr>
              <w:t xml:space="preserve">8</w:t>
            </w:r>
          </w:p>
        </w:tc>
        <w:tc>
          <w:tcPr>
            <w:tcW w:type="dxa" w:w="4750"/>
            <w:tcMar>
              <w:top w:type="dxa" w:w="60"/>
              <w:left w:type="dxa" w:w="100"/>
              <w:bottom w:type="dxa" w:w="60"/>
              <w:right w:type="dxa" w:w="100"/>
            </w:tcMar>
            <w:vAlign w:val="center"/>
          </w:tcPr>
          <w:p>
            <w:pPr>
              <w:spacing w:after="0"/>
            </w:pPr>
            <w:r>
              <w:rPr>
                <w:b w:val="false"/>
                <w:bCs w:val="false"/>
                <w:sz w:val="19"/>
                <w:szCs w:val="19"/>
              </w:rPr>
              <w:t xml:space="preserve">Seuil = Coûts fixes ÷ Marge unitaire (entier sup.)</w:t>
            </w:r>
          </w:p>
        </w:tc>
        <w:tc>
          <w:tcPr>
            <w:tcW w:type="dxa" w:w="4100"/>
            <w:tcMar>
              <w:top w:type="dxa" w:w="60"/>
              <w:left w:type="dxa" w:w="100"/>
              <w:bottom w:type="dxa" w:w="60"/>
              <w:right w:type="dxa" w:w="100"/>
            </w:tcMar>
            <w:vAlign w:val="center"/>
          </w:tcPr>
          <w:p>
            <w:pPr>
              <w:spacing w:after="0"/>
            </w:pPr>
            <w:r>
              <w:rPr>
                <w:b w:val="false"/>
                <w:bCs w:val="false"/>
                <w:sz w:val="19"/>
                <w:szCs w:val="19"/>
              </w:rPr>
              <w:t xml:space="preserve">Rentabilité d’une opération</w:t>
            </w:r>
          </w:p>
        </w:tc>
      </w:tr>
      <w:tr>
        <w:tc>
          <w:tcPr>
            <w:tcW w:type="dxa" w:w="500"/>
            <w:tcMar>
              <w:top w:type="dxa" w:w="60"/>
              <w:left w:type="dxa" w:w="100"/>
              <w:bottom w:type="dxa" w:w="60"/>
              <w:right w:type="dxa" w:w="100"/>
            </w:tcMar>
            <w:vAlign w:val="center"/>
          </w:tcPr>
          <w:p>
            <w:pPr>
              <w:spacing w:after="0"/>
            </w:pPr>
            <w:r>
              <w:rPr>
                <w:b w:val="false"/>
                <w:bCs w:val="false"/>
                <w:sz w:val="19"/>
                <w:szCs w:val="19"/>
              </w:rPr>
              <w:t xml:space="preserve">9</w:t>
            </w:r>
          </w:p>
        </w:tc>
        <w:tc>
          <w:tcPr>
            <w:tcW w:type="dxa" w:w="4750"/>
            <w:tcMar>
              <w:top w:type="dxa" w:w="60"/>
              <w:left w:type="dxa" w:w="100"/>
              <w:bottom w:type="dxa" w:w="60"/>
              <w:right w:type="dxa" w:w="100"/>
            </w:tcMar>
            <w:vAlign w:val="center"/>
          </w:tcPr>
          <w:p>
            <w:pPr>
              <w:spacing w:after="0"/>
            </w:pPr>
            <w:r>
              <w:rPr>
                <w:b w:val="false"/>
                <w:bCs w:val="false"/>
                <w:sz w:val="19"/>
                <w:szCs w:val="19"/>
              </w:rPr>
              <w:t xml:space="preserve">Escompte = V × t × j ÷ 360 ; net = V − agios</w:t>
            </w:r>
          </w:p>
        </w:tc>
        <w:tc>
          <w:tcPr>
            <w:tcW w:type="dxa" w:w="4100"/>
            <w:tcMar>
              <w:top w:type="dxa" w:w="60"/>
              <w:left w:type="dxa" w:w="100"/>
              <w:bottom w:type="dxa" w:w="60"/>
              <w:right w:type="dxa" w:w="100"/>
            </w:tcMar>
            <w:vAlign w:val="center"/>
          </w:tcPr>
          <w:p>
            <w:pPr>
              <w:spacing w:after="0"/>
            </w:pPr>
            <w:r>
              <w:rPr>
                <w:b w:val="false"/>
                <w:bCs w:val="false"/>
                <w:sz w:val="19"/>
                <w:szCs w:val="19"/>
              </w:rPr>
              <w:t xml:space="preserve">Trésorerie / financement</w:t>
            </w:r>
          </w:p>
        </w:tc>
      </w:tr>
      <w:tr>
        <w:tc>
          <w:tcPr>
            <w:tcW w:type="dxa" w:w="500"/>
            <w:tcMar>
              <w:top w:type="dxa" w:w="60"/>
              <w:left w:type="dxa" w:w="100"/>
              <w:bottom w:type="dxa" w:w="60"/>
              <w:right w:type="dxa" w:w="100"/>
            </w:tcMar>
            <w:vAlign w:val="center"/>
          </w:tcPr>
          <w:p>
            <w:pPr>
              <w:spacing w:after="0"/>
            </w:pPr>
            <w:r>
              <w:rPr>
                <w:b w:val="false"/>
                <w:bCs w:val="false"/>
                <w:sz w:val="19"/>
                <w:szCs w:val="19"/>
              </w:rPr>
              <w:t xml:space="preserve">10</w:t>
            </w:r>
          </w:p>
        </w:tc>
        <w:tc>
          <w:tcPr>
            <w:tcW w:type="dxa" w:w="4750"/>
            <w:tcMar>
              <w:top w:type="dxa" w:w="60"/>
              <w:left w:type="dxa" w:w="100"/>
              <w:bottom w:type="dxa" w:w="60"/>
              <w:right w:type="dxa" w:w="100"/>
            </w:tcMar>
            <w:vAlign w:val="center"/>
          </w:tcPr>
          <w:p>
            <w:pPr>
              <w:spacing w:after="0"/>
            </w:pPr>
            <w:r>
              <w:rPr>
                <w:b w:val="false"/>
                <w:bCs w:val="false"/>
                <w:sz w:val="19"/>
                <w:szCs w:val="19"/>
              </w:rPr>
              <w:t xml:space="preserve">VAN = Σ flux actualisés − I₀ ; DRCI par cumul</w:t>
            </w:r>
          </w:p>
        </w:tc>
        <w:tc>
          <w:tcPr>
            <w:tcW w:type="dxa" w:w="4100"/>
            <w:tcMar>
              <w:top w:type="dxa" w:w="60"/>
              <w:left w:type="dxa" w:w="100"/>
              <w:bottom w:type="dxa" w:w="60"/>
              <w:right w:type="dxa" w:w="100"/>
            </w:tcMar>
            <w:vAlign w:val="center"/>
          </w:tcPr>
          <w:p>
            <w:pPr>
              <w:spacing w:after="0"/>
            </w:pPr>
            <w:r>
              <w:rPr>
                <w:b w:val="false"/>
                <w:bCs w:val="false"/>
                <w:sz w:val="19"/>
                <w:szCs w:val="19"/>
              </w:rPr>
              <w:t xml:space="preserve">Choix d’investissement</w:t>
            </w:r>
          </w:p>
        </w:tc>
      </w:tr>
    </w:tbl>
    <w:p>
      <w:pPr>
        <w:pStyle w:val="Heading3"/>
        <w:spacing w:after="100" w:before="240"/>
      </w:pPr>
      <w:r>
        <w:rPr>
          <w:b/>
          <w:bCs/>
          <w:color w:val="C55A11"/>
          <w:sz w:val="23"/>
          <w:szCs w:val="23"/>
        </w:rPr>
        <w:t xml:space="preserve">Les cinq réflexes transversaux</w:t>
      </w:r>
    </w:p>
    <w:p>
      <w:pPr>
        <w:pStyle w:val="ListParagraph"/>
        <w:numPr>
          <w:ilvl w:val="0"/>
          <w:numId w:val="2"/>
        </w:numPr>
        <w:spacing w:after="80" w:line="276"/>
        <w:jc w:val="both"/>
      </w:pPr>
      <w:r>
        <w:rPr>
          <w:b/>
          <w:bCs/>
        </w:rPr>
        <w:t xml:space="preserve">Lire deux fois la consigne</w:t>
      </w:r>
      <w:r>
        <w:rPr>
          <w:b w:val="false"/>
          <w:bCs w:val="false"/>
        </w:rPr>
        <w:t xml:space="preserve"> : presque toutes les questions du sujet comportent deux verbes (calculer + analyser/conclure) ;</w:t>
      </w:r>
    </w:p>
    <w:p>
      <w:pPr>
        <w:pStyle w:val="ListParagraph"/>
        <w:numPr>
          <w:ilvl w:val="0"/>
          <w:numId w:val="2"/>
        </w:numPr>
        <w:spacing w:after="80" w:line="276"/>
        <w:jc w:val="both"/>
      </w:pPr>
      <w:r>
        <w:rPr>
          <w:b/>
          <w:bCs/>
        </w:rPr>
        <w:t xml:space="preserve">Travailler en HT</w:t>
      </w:r>
      <w:r>
        <w:rPr>
          <w:b w:val="false"/>
          <w:bCs w:val="false"/>
        </w:rPr>
        <w:t xml:space="preserve"> dès qu’il est question de marge, et convertir explicitement ;</w:t>
      </w:r>
    </w:p>
    <w:p>
      <w:pPr>
        <w:pStyle w:val="ListParagraph"/>
        <w:numPr>
          <w:ilvl w:val="0"/>
          <w:numId w:val="2"/>
        </w:numPr>
        <w:spacing w:after="80" w:line="276"/>
        <w:jc w:val="both"/>
      </w:pPr>
      <w:r>
        <w:rPr>
          <w:b/>
          <w:bCs/>
        </w:rPr>
        <w:t xml:space="preserve">Montrer le raisonnement</w:t>
      </w:r>
      <w:r>
        <w:rPr>
          <w:b w:val="false"/>
          <w:bCs w:val="false"/>
        </w:rPr>
        <w:t xml:space="preserve"> : formule littérale, application numérique, résultat avec unité, arrondi à 2 décimales ;</w:t>
      </w:r>
    </w:p>
    <w:p>
      <w:pPr>
        <w:pStyle w:val="ListParagraph"/>
        <w:numPr>
          <w:ilvl w:val="0"/>
          <w:numId w:val="2"/>
        </w:numPr>
        <w:spacing w:after="80" w:line="276"/>
        <w:jc w:val="both"/>
      </w:pPr>
      <w:r>
        <w:rPr>
          <w:b/>
          <w:bCs/>
        </w:rPr>
        <w:t xml:space="preserve">Vérifier la cohérence</w:t>
      </w:r>
      <w:r>
        <w:rPr>
          <w:b w:val="false"/>
          <w:bCs w:val="false"/>
        </w:rPr>
        <w:t xml:space="preserve"> (sommes, ordres de grandeur, équilibre des tableaux) ;</w:t>
      </w:r>
    </w:p>
    <w:p>
      <w:pPr>
        <w:pStyle w:val="ListParagraph"/>
        <w:numPr>
          <w:ilvl w:val="0"/>
          <w:numId w:val="2"/>
        </w:numPr>
        <w:spacing w:after="80" w:line="276"/>
        <w:jc w:val="both"/>
      </w:pPr>
      <w:r>
        <w:rPr>
          <w:b/>
          <w:bCs/>
        </w:rPr>
        <w:t xml:space="preserve">Conclure en manager</w:t>
      </w:r>
      <w:r>
        <w:rPr>
          <w:b w:val="false"/>
          <w:bCs w:val="false"/>
        </w:rPr>
        <w:t xml:space="preserve"> : chaque résultat débouche sur un constat (favorable/défavorable), une cause et une décision.</w:t>
      </w:r>
    </w:p>
    <w:p>
      <w:pPr>
        <w:pBdr>
          <w:left w:val="single" w:color="C55A11" w:sz="16"/>
        </w:pBdr>
        <w:shd w:fill="FBF2E4" w:val="clear"/>
        <w:spacing w:after="140" w:before="100" w:line="276"/>
        <w:ind w:left="240" w:right="240"/>
        <w:jc w:val="both"/>
      </w:pPr>
      <w:r>
        <w:rPr>
          <w:b w:val="false"/>
          <w:bCs w:val="false"/>
          <w:i/>
          <w:iCs/>
          <w:color w:val="3B3B3B"/>
        </w:rPr>
        <w:t xml:space="preserve">Dernier mot du correcteur : ce sujet 2024 est représentatif de l’esprit de l’épreuve E5 — aucune question n’exige de virtuosité mathématique, mais toutes exigent de la rigueur, de la méthode et une posture de gestionnaire qui interprète ses chiffres. Refaites ce sujet en conditions réelles (3 heures, calculatrice en mode examen), puis comparez à ce corrigé rubrique par rubrique. Bon courage : vous êtes prêts.</w:t>
      </w:r>
    </w:p>
    <w:sectPr>
      <w:headerReference w:type="default" r:id="rId7"/>
      <w:footerReference w:type="default" r:id="rId8"/>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6"/>
        <w:szCs w:val="16"/>
      </w:rPr>
      <w:t xml:space="preserve">Page </w:t>
    </w:r>
    <w:r>
      <w:rPr>
        <w:color w:val="808080"/>
        <w:sz w:val="16"/>
        <w:szCs w:val="16"/>
      </w:rPr>
      <w:fldChar w:fldCharType="begin"/>
      <w:instrText xml:space="preserve">PAGE</w:instrText>
      <w:fldChar w:fldCharType="separate"/>
      <w:fldChar w:fldCharType="end"/>
    </w:r>
    <w:r>
      <w:rPr>
        <w:color w:val="808080"/>
        <w:sz w:val="16"/>
        <w:szCs w:val="16"/>
      </w:rPr>
      <w:t xml:space="preserve"> / </w:t>
    </w:r>
    <w:r>
      <w:rPr>
        <w:color w:val="8080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5A11" w:sz="4"/>
      </w:pBdr>
      <w:jc w:val="right"/>
    </w:pPr>
    <w:r>
      <w:rPr>
        <w:i/>
        <w:iCs/>
        <w:color w:val="808080"/>
        <w:sz w:val="16"/>
        <w:szCs w:val="16"/>
      </w:rPr>
      <w:t xml:space="preserve">BTS MCO – E5 Gestion opérationnelle – Session 2024 – Correction intégrale commentée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20"/>
      </w:pPr>
    </w:lvl>
    <w:lvl w:ilvl="1" w15:tentative="1">
      <w:start w:val="1"/>
      <w:numFmt w:val="bullet"/>
      <w:lvlText w:val="•"/>
      <w:lvlJc w:val="left"/>
      <w:pPr>
        <w:ind w:left="80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Calibri" w:cs="Calibri" w:eastAsia="Calibri" w:hAnsi="Calibri"/>
      <w:b/>
      <w:bCs/>
    </w:rPr>
  </w:style>
  <w:style w:type="paragraph" w:styleId="Heading2">
    <w:name w:val="Heading 2"/>
    <w:basedOn w:val="Normal"/>
    <w:next w:val="Normal"/>
    <w:qFormat/>
    <w:rPr>
      <w:rFonts w:ascii="Calibri" w:cs="Calibri" w:eastAsia="Calibri" w:hAnsi="Calibri"/>
      <w:b/>
      <w:bCs/>
    </w:rPr>
  </w:style>
  <w:style w:type="paragraph" w:styleId="Heading3">
    <w:name w:val="Heading 3"/>
    <w:basedOn w:val="Normal"/>
    <w:next w:val="Normal"/>
    <w:qFormat/>
    <w:rPr>
      <w:rFonts w:ascii="Calibri" w:cs="Calibri" w:eastAsia="Calibri" w:hAnsi="Calibri"/>
      <w:b/>
      <w:bCs/>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BTS MCO - E5 Gestion opérationnelle 2024 - Correction intégrale commentée</dc:title>
  <dc:creator>AURLOM BTS+</dc:creator>
  <cp:lastModifiedBy>Un-named</cp:lastModifiedBy>
  <cp:revision>1</cp:revision>
  <dcterms:created xsi:type="dcterms:W3CDTF">2026-07-10T16:56:56.731Z</dcterms:created>
  <dcterms:modified xsi:type="dcterms:W3CDTF">2026-07-10T16:56:56.745Z</dcterms:modified>
</cp:coreProperties>
</file>

<file path=docProps/custom.xml><?xml version="1.0" encoding="utf-8"?>
<Properties xmlns="http://schemas.openxmlformats.org/officeDocument/2006/custom-properties" xmlns:vt="http://schemas.openxmlformats.org/officeDocument/2006/docPropsVTypes"/>
</file>